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88E30EA" wp14:editId="49F5E6D8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1184317B" w:rsidR="007D68EF" w:rsidRPr="00BE35DC" w:rsidRDefault="007D68EF" w:rsidP="00933FF8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8730FA7152474D6CACA964750E8B109E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Content>
          <w:r w:rsidR="00933FF8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="0042023A">
        <w:rPr>
          <w:sz w:val="32"/>
        </w:rPr>
        <w:t xml:space="preserve">                          </w:t>
      </w:r>
      <w:r>
        <w:rPr>
          <w:sz w:val="32"/>
        </w:rPr>
        <w:t xml:space="preserve"> </w:t>
      </w:r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bookmarkStart w:id="0" w:name="_GoBack"/>
      <w:bookmarkEnd w:id="0"/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F4C4" wp14:editId="79A5BE10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DEDEF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305E1CBA" w:rsidR="00BD5296" w:rsidRPr="00321654" w:rsidRDefault="006D0C34" w:rsidP="0042023A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>Improv</w:t>
                </w:r>
                <w:r w:rsidR="00E7463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 </w:t>
                </w:r>
                <w:r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Nature and Quality of </w:t>
                </w:r>
                <w:r w:rsidR="00B9573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Submissions to the </w:t>
                </w:r>
                <w:r w:rsidR="0042023A" w:rsidRPr="0042023A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>Annals of Saudi Medicine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1B8C8578" w:rsidR="00FC3EA3" w:rsidRPr="00321654" w:rsidRDefault="006D0C34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04AE329E" w:rsidR="00FC3EA3" w:rsidRPr="00321654" w:rsidRDefault="006D0C34" w:rsidP="0042023A">
                <w:pPr>
                  <w:jc w:val="both"/>
                  <w:rPr>
                    <w:rFonts w:cs="Arial"/>
                    <w:color w:val="000000" w:themeColor="text1"/>
                    <w:sz w:val="20"/>
                  </w:rPr>
                </w:pPr>
                <w:r w:rsidRPr="006D0C34">
                  <w:rPr>
                    <w:rFonts w:cs="Arial"/>
                    <w:color w:val="000000" w:themeColor="text1"/>
                    <w:sz w:val="20"/>
                  </w:rPr>
                  <w:t>Academic and Training Affairs (ATA), Scientific Publications Office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D14527E" w:rsidR="00944197" w:rsidRPr="00321654" w:rsidRDefault="00E34A14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2AB7CBFE" w:rsidR="00944197" w:rsidRPr="00321654" w:rsidRDefault="006D0C34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6ABF76BB" w:rsidR="00944197" w:rsidRPr="00321654" w:rsidRDefault="006D0C34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6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000E88" w:rsidRPr="00CD0A93" w14:paraId="1C6A88AA" w14:textId="38D5E52D" w:rsidTr="009D741C">
        <w:trPr>
          <w:trHeight w:val="217"/>
        </w:trPr>
        <w:tc>
          <w:tcPr>
            <w:tcW w:w="5321" w:type="dxa"/>
            <w:shd w:val="clear" w:color="auto" w:fill="auto"/>
          </w:tcPr>
          <w:p w14:paraId="3D0A5D2E" w14:textId="5156E15B" w:rsidR="00000E88" w:rsidRDefault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D1033E8" w14:textId="77777777" w:rsidR="00B13E10" w:rsidRPr="0037000B" w:rsidRDefault="00B13E1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4D93607C" w14:textId="3D72FCDF" w:rsidR="00DF518A" w:rsidRDefault="00C32F3D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C32F3D">
                  <w:rPr>
                    <w:rFonts w:cs="Arial"/>
                    <w:sz w:val="20"/>
                    <w:szCs w:val="20"/>
                  </w:rPr>
                  <w:t xml:space="preserve">The </w:t>
                </w:r>
                <w:r w:rsidRPr="0042023A">
                  <w:rPr>
                    <w:rFonts w:cs="Arial"/>
                    <w:i/>
                    <w:sz w:val="20"/>
                    <w:szCs w:val="20"/>
                  </w:rPr>
                  <w:t>Annals of Saudi Medicine</w:t>
                </w:r>
                <w:r w:rsidRPr="00C32F3D">
                  <w:rPr>
                    <w:rFonts w:cs="Arial"/>
                    <w:sz w:val="20"/>
                    <w:szCs w:val="20"/>
                  </w:rPr>
                  <w:t xml:space="preserve"> (ASM)</w:t>
                </w:r>
                <w:r w:rsidR="00DF518A" w:rsidRPr="00DF518A">
                  <w:rPr>
                    <w:rFonts w:cs="Arial"/>
                    <w:sz w:val="20"/>
                    <w:szCs w:val="20"/>
                  </w:rPr>
                  <w:t xml:space="preserve"> is moving toward</w:t>
                </w:r>
                <w:r w:rsidR="00B13E10">
                  <w:rPr>
                    <w:rFonts w:cs="Arial"/>
                    <w:sz w:val="20"/>
                    <w:szCs w:val="20"/>
                  </w:rPr>
                  <w:t>s</w:t>
                </w:r>
                <w:r w:rsidR="00DF518A" w:rsidRPr="00DF518A">
                  <w:rPr>
                    <w:rFonts w:cs="Arial"/>
                    <w:sz w:val="20"/>
                    <w:szCs w:val="20"/>
                  </w:rPr>
                  <w:t xml:space="preserve"> its goal of being an international journal through </w:t>
                </w:r>
                <w:r w:rsidR="00DF518A">
                  <w:rPr>
                    <w:rFonts w:cs="Arial"/>
                    <w:color w:val="000000" w:themeColor="text1"/>
                    <w:sz w:val="20"/>
                    <w:szCs w:val="20"/>
                  </w:rPr>
                  <w:t>i</w:t>
                </w:r>
                <w:r w:rsidR="00DF518A"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>mprovi</w:t>
                </w:r>
                <w:r w:rsidR="00DF518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ng </w:t>
                </w:r>
                <w:r w:rsidR="00DF518A"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</w:t>
                </w:r>
                <w:r w:rsidR="00DF518A">
                  <w:rPr>
                    <w:rFonts w:cs="Arial"/>
                    <w:color w:val="000000" w:themeColor="text1"/>
                    <w:sz w:val="20"/>
                    <w:szCs w:val="20"/>
                  </w:rPr>
                  <w:t>n</w:t>
                </w:r>
                <w:r w:rsidR="00DF518A"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ature and </w:t>
                </w:r>
                <w:r w:rsidR="00DF518A">
                  <w:rPr>
                    <w:rFonts w:cs="Arial"/>
                    <w:color w:val="000000" w:themeColor="text1"/>
                    <w:sz w:val="20"/>
                    <w:szCs w:val="20"/>
                  </w:rPr>
                  <w:t>q</w:t>
                </w:r>
                <w:r w:rsidR="00DF518A"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uality of </w:t>
                </w:r>
                <w:r w:rsidR="00DF518A">
                  <w:rPr>
                    <w:rFonts w:cs="Arial"/>
                    <w:color w:val="000000" w:themeColor="text1"/>
                    <w:sz w:val="20"/>
                    <w:szCs w:val="20"/>
                  </w:rPr>
                  <w:t>s</w:t>
                </w:r>
                <w:r w:rsidR="00DF518A"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>ubmissions</w:t>
                </w:r>
                <w:r w:rsidR="00DF518A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  <w:p w14:paraId="7A54A848" w14:textId="0E559479" w:rsidR="009D741C" w:rsidRDefault="00DF518A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ASM </w:t>
                </w:r>
                <w:r w:rsidR="00C32F3D">
                  <w:rPr>
                    <w:rFonts w:cs="Arial"/>
                    <w:sz w:val="20"/>
                    <w:szCs w:val="20"/>
                  </w:rPr>
                  <w:t xml:space="preserve">has 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updated its Information for Authors and Author </w:t>
                </w:r>
                <w:r w:rsidR="0042023A">
                  <w:rPr>
                    <w:rFonts w:cs="Arial"/>
                    <w:sz w:val="20"/>
                    <w:szCs w:val="20"/>
                  </w:rPr>
                  <w:t>Instructions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>; this has helped in decreasing the number of low-quality submissions such as plagiarized/duplicated studies</w:t>
                </w:r>
                <w:r w:rsidR="00950AB9">
                  <w:rPr>
                    <w:rFonts w:cs="Arial"/>
                    <w:sz w:val="20"/>
                    <w:szCs w:val="20"/>
                  </w:rPr>
                  <w:t xml:space="preserve"> and 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studies </w:t>
                </w:r>
                <w:r w:rsidRPr="00C32F3D">
                  <w:rPr>
                    <w:rFonts w:cs="Arial"/>
                    <w:sz w:val="20"/>
                    <w:szCs w:val="20"/>
                  </w:rPr>
                  <w:t>that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 lack originality.</w:t>
                </w: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>In addition, the ASM now requires that datasets used in the study be submitted with the manuscript on initial submission</w:t>
                </w:r>
                <w:r w:rsidR="00D94606">
                  <w:rPr>
                    <w:rFonts w:cs="Arial"/>
                    <w:sz w:val="20"/>
                    <w:szCs w:val="20"/>
                  </w:rPr>
                  <w:t>, which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950AB9">
                  <w:rPr>
                    <w:rFonts w:cs="Arial"/>
                    <w:sz w:val="20"/>
                    <w:szCs w:val="20"/>
                  </w:rPr>
                  <w:t xml:space="preserve">allows for </w:t>
                </w:r>
                <w:r w:rsidR="00F31B36">
                  <w:rPr>
                    <w:rFonts w:cs="Arial"/>
                    <w:sz w:val="20"/>
                    <w:szCs w:val="20"/>
                  </w:rPr>
                  <w:t>checking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 the </w:t>
                </w:r>
                <w:r w:rsidR="00DE6751">
                  <w:rPr>
                    <w:rFonts w:cs="Arial"/>
                    <w:sz w:val="20"/>
                    <w:szCs w:val="20"/>
                  </w:rPr>
                  <w:t>data</w:t>
                </w:r>
                <w:r w:rsidR="00BA397A">
                  <w:rPr>
                    <w:rFonts w:cs="Arial"/>
                    <w:sz w:val="20"/>
                    <w:szCs w:val="20"/>
                  </w:rPr>
                  <w:t xml:space="preserve"> analysis</w:t>
                </w:r>
                <w:r w:rsidR="00DE6751">
                  <w:rPr>
                    <w:rFonts w:cs="Arial"/>
                    <w:sz w:val="20"/>
                    <w:szCs w:val="20"/>
                  </w:rPr>
                  <w:t xml:space="preserve"> and 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>summary statistics</w:t>
                </w:r>
                <w:r w:rsidR="00F31B36">
                  <w:rPr>
                    <w:rFonts w:cs="Arial"/>
                    <w:sz w:val="20"/>
                    <w:szCs w:val="20"/>
                  </w:rPr>
                  <w:t>.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BA397A">
                  <w:rPr>
                    <w:rFonts w:cs="Arial"/>
                    <w:sz w:val="20"/>
                    <w:szCs w:val="20"/>
                  </w:rPr>
                  <w:t>Revisions</w:t>
                </w:r>
                <w:r w:rsidR="00F31B36">
                  <w:rPr>
                    <w:rFonts w:cs="Arial"/>
                    <w:sz w:val="20"/>
                    <w:szCs w:val="20"/>
                  </w:rPr>
                  <w:t xml:space="preserve"> can </w:t>
                </w:r>
                <w:r w:rsidR="00BA397A">
                  <w:rPr>
                    <w:rFonts w:cs="Arial"/>
                    <w:sz w:val="20"/>
                    <w:szCs w:val="20"/>
                  </w:rPr>
                  <w:t xml:space="preserve">also </w:t>
                </w:r>
                <w:r w:rsidR="00F31B36">
                  <w:rPr>
                    <w:rFonts w:cs="Arial"/>
                    <w:sz w:val="20"/>
                    <w:szCs w:val="20"/>
                  </w:rPr>
                  <w:t>be made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 xml:space="preserve"> to figures and tables</w:t>
                </w:r>
                <w:r w:rsidR="00B13E10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C32F3D" w:rsidRPr="00C32F3D">
                  <w:rPr>
                    <w:rFonts w:cs="Arial"/>
                    <w:sz w:val="20"/>
                    <w:szCs w:val="20"/>
                  </w:rPr>
                  <w:t>to improve the presentation of data.</w:t>
                </w:r>
              </w:p>
              <w:p w14:paraId="5AF63587" w14:textId="316E94F1" w:rsidR="00000E88" w:rsidRPr="00B13E10" w:rsidRDefault="00671040" w:rsidP="009D741C">
                <w:pPr>
                  <w:rPr>
                    <w:rFonts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5321" w:type="dxa"/>
            <w:shd w:val="clear" w:color="auto" w:fill="auto"/>
          </w:tcPr>
          <w:p w14:paraId="1E632079" w14:textId="41A40893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4CE9B935" w14:textId="77777777" w:rsidR="00B13E10" w:rsidRPr="004910B3" w:rsidRDefault="00B13E10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BE18B76" w14:textId="2C2C8BBF" w:rsidR="00000E88" w:rsidRPr="00B13E10" w:rsidRDefault="006D0C34" w:rsidP="0042023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B13E10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 w:rsidR="009D741C">
              <w:rPr>
                <w:rFonts w:cs="Arial"/>
                <w:color w:val="000000" w:themeColor="text1"/>
                <w:sz w:val="20"/>
                <w:szCs w:val="20"/>
              </w:rPr>
              <w:t xml:space="preserve">continuously </w:t>
            </w:r>
            <w:r w:rsidRPr="00B13E10">
              <w:rPr>
                <w:rFonts w:cs="Arial"/>
                <w:color w:val="000000" w:themeColor="text1"/>
                <w:sz w:val="20"/>
                <w:szCs w:val="20"/>
              </w:rPr>
              <w:t xml:space="preserve">decrease the publication of low-quality papers </w:t>
            </w:r>
            <w:r w:rsidR="00B13E10" w:rsidRPr="00B13E10">
              <w:rPr>
                <w:rFonts w:cs="Arial"/>
                <w:color w:val="000000" w:themeColor="text1"/>
                <w:sz w:val="20"/>
                <w:szCs w:val="20"/>
              </w:rPr>
              <w:t xml:space="preserve">and </w:t>
            </w:r>
            <w:r w:rsidRPr="00B13E10">
              <w:rPr>
                <w:rFonts w:cs="Arial"/>
                <w:color w:val="000000" w:themeColor="text1"/>
                <w:sz w:val="20"/>
                <w:szCs w:val="20"/>
              </w:rPr>
              <w:t>increase the publication of</w:t>
            </w:r>
            <w:r w:rsidR="009D741C">
              <w:rPr>
                <w:rFonts w:cs="Arial"/>
                <w:color w:val="000000" w:themeColor="text1"/>
                <w:sz w:val="20"/>
                <w:szCs w:val="20"/>
              </w:rPr>
              <w:t xml:space="preserve"> high-quality papers to the ASM by at least 5% from baseline before the end of 2016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9D741C">
        <w:trPr>
          <w:trHeight w:val="2423"/>
        </w:trPr>
        <w:tc>
          <w:tcPr>
            <w:tcW w:w="5321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0A3E7C48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1A328178" w14:textId="77777777" w:rsidR="00B13E10" w:rsidRPr="0037000B" w:rsidRDefault="00B13E10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99872B3" w14:textId="77777777" w:rsidR="00000E88" w:rsidRPr="0037000B" w:rsidRDefault="0067104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67104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2CA172F2" w:rsidR="00000E88" w:rsidRPr="0037000B" w:rsidRDefault="0067104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3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67104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0B819F3C" w:rsidR="00000E88" w:rsidRPr="0037000B" w:rsidRDefault="0067104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3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671040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321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1E9D8B9F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1D0220FD" w14:textId="77777777" w:rsidR="00B13E10" w:rsidRDefault="00B13E10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4D8A199D" w:rsidR="00000E88" w:rsidRPr="0042023A" w:rsidRDefault="00E34A14" w:rsidP="00000E88">
                <w:pPr>
                  <w:rPr>
                    <w:rFonts w:cs="Arial"/>
                    <w:b/>
                    <w:sz w:val="20"/>
                  </w:rPr>
                </w:pPr>
                <w:r w:rsidRPr="0042023A">
                  <w:rPr>
                    <w:rFonts w:cs="Arial"/>
                    <w:b/>
                    <w:sz w:val="20"/>
                  </w:rPr>
                  <w:t>Effective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4904"/>
            </w:tblGrid>
            <w:tr w:rsidR="001942D3" w14:paraId="60EFAF15" w14:textId="77777777" w:rsidTr="00AA3EA1">
              <w:tc>
                <w:tcPr>
                  <w:tcW w:w="5382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Measure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4904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Target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AA3EA1">
              <w:trPr>
                <w:trHeight w:val="1160"/>
              </w:trPr>
              <w:tc>
                <w:tcPr>
                  <w:tcW w:w="5382" w:type="dxa"/>
                </w:tcPr>
                <w:p w14:paraId="23A790E4" w14:textId="01C67199" w:rsidR="00E34A14" w:rsidRPr="00E34A14" w:rsidRDefault="00AA3EA1" w:rsidP="0042023A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ind w:left="324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Percentage</w:t>
                  </w:r>
                  <w:r w:rsidR="00E33CCF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42023A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of published original articles</w:t>
                  </w:r>
                </w:p>
                <w:p w14:paraId="7BF502AD" w14:textId="644E8FDE" w:rsidR="00E33CCF" w:rsidRPr="00E33CCF" w:rsidRDefault="00AA3EA1" w:rsidP="0042023A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ind w:left="324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Percentage</w:t>
                  </w:r>
                  <w:r w:rsidR="0042023A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of standard g</w:t>
                  </w:r>
                  <w:r w:rsidR="00E33CCF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uidelines</w:t>
                  </w:r>
                </w:p>
                <w:p w14:paraId="49C1962A" w14:textId="492AB0D4" w:rsidR="00E33CCF" w:rsidRPr="00E33CCF" w:rsidRDefault="00AA3EA1" w:rsidP="0042023A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ind w:left="324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Percentage</w:t>
                  </w:r>
                  <w:r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42023A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of s</w:t>
                  </w:r>
                  <w:r w:rsidR="00E33CCF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ubmissions from </w:t>
                  </w:r>
                  <w:r w:rsidR="0042023A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the </w:t>
                  </w:r>
                  <w:r w:rsidR="00E33CCF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United States of America</w:t>
                  </w:r>
                </w:p>
                <w:p w14:paraId="661CAD4A" w14:textId="3139AA22" w:rsidR="001942D3" w:rsidRPr="00E33CCF" w:rsidRDefault="00AA3EA1" w:rsidP="0042023A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ind w:left="324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Percentage</w:t>
                  </w:r>
                  <w:r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of </w:t>
                  </w:r>
                  <w:r w:rsidR="0042023A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 w:rsidR="00E33CCF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ocuments </w:t>
                  </w:r>
                  <w:r w:rsidR="0042023A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with low ci</w:t>
                  </w:r>
                  <w:r w:rsidR="00AD1A5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tability </w:t>
                  </w:r>
                  <w:r w:rsidR="00E33CCF" w:rsidRPr="00E33CC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(case reports)</w:t>
                  </w:r>
                </w:p>
              </w:tc>
              <w:tc>
                <w:tcPr>
                  <w:tcW w:w="4904" w:type="dxa"/>
                </w:tcPr>
                <w:p w14:paraId="008655EB" w14:textId="28411C7B" w:rsidR="00E34A14" w:rsidRPr="00E34A14" w:rsidRDefault="00E33CCF" w:rsidP="00E34A14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306" w:hanging="306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67</w:t>
                  </w:r>
                  <w:r w:rsidR="00CE7AD3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  <w:p w14:paraId="1A90A9BD" w14:textId="64EE66BC" w:rsidR="00E34A14" w:rsidRPr="00E34A14" w:rsidRDefault="00E33CCF" w:rsidP="00E34A14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306" w:hanging="306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17</w:t>
                  </w:r>
                  <w:r w:rsidR="00CE7AD3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  <w:p w14:paraId="416AC3EF" w14:textId="28E82226" w:rsidR="00E33CCF" w:rsidRDefault="00E33CCF" w:rsidP="00E34A14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306" w:hanging="306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16</w:t>
                  </w:r>
                  <w:r w:rsidR="00CE7AD3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  <w:p w14:paraId="7530E8F7" w14:textId="6C72DC33" w:rsidR="00E33CCF" w:rsidRPr="001942D3" w:rsidRDefault="00E33CCF" w:rsidP="00E34A14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ind w:left="306" w:hanging="306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13</w:t>
                  </w:r>
                  <w:r w:rsidR="00CE7AD3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</w:tc>
            </w:tr>
          </w:tbl>
          <w:p w14:paraId="287ECDFC" w14:textId="37EB7C7E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58934A13" w14:textId="77777777" w:rsidTr="00F815CF">
        <w:trPr>
          <w:trHeight w:val="1602"/>
        </w:trPr>
        <w:tc>
          <w:tcPr>
            <w:tcW w:w="10512" w:type="dxa"/>
          </w:tcPr>
          <w:p w14:paraId="53A8F90C" w14:textId="77777777" w:rsidR="00E33CCF" w:rsidRDefault="00E33CCF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8A94CE0" w14:textId="77777777" w:rsidR="009D741C" w:rsidRPr="009D741C" w:rsidRDefault="009D741C" w:rsidP="009D741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D741C">
              <w:rPr>
                <w:rFonts w:cs="Arial"/>
                <w:b/>
                <w:color w:val="00A3E4" w:themeColor="accent2"/>
                <w:sz w:val="20"/>
              </w:rPr>
              <w:t xml:space="preserve">Interventions: </w:t>
            </w:r>
            <w:r w:rsidRPr="009D741C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9D741C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4672671" w14:textId="54EE72A2" w:rsidR="00E33CCF" w:rsidRPr="009D741C" w:rsidRDefault="009D741C" w:rsidP="009D741C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C32F3D">
              <w:rPr>
                <w:rFonts w:cs="Arial"/>
                <w:sz w:val="20"/>
                <w:szCs w:val="20"/>
              </w:rPr>
              <w:t>pdate</w:t>
            </w:r>
            <w:r w:rsidR="0042023A">
              <w:rPr>
                <w:rFonts w:cs="Arial"/>
                <w:sz w:val="20"/>
                <w:szCs w:val="20"/>
              </w:rPr>
              <w:t xml:space="preserve"> </w:t>
            </w:r>
            <w:r w:rsidRPr="00C32F3D">
              <w:rPr>
                <w:rFonts w:cs="Arial"/>
                <w:sz w:val="20"/>
                <w:szCs w:val="20"/>
              </w:rPr>
              <w:t xml:space="preserve">Information for Authors and Author </w:t>
            </w:r>
            <w:r w:rsidR="0042023A" w:rsidRPr="0042023A">
              <w:rPr>
                <w:rFonts w:cs="Arial"/>
                <w:sz w:val="20"/>
                <w:szCs w:val="20"/>
              </w:rPr>
              <w:t>Instructions</w:t>
            </w:r>
            <w:r w:rsidR="0042023A">
              <w:rPr>
                <w:rFonts w:cs="Arial"/>
                <w:sz w:val="20"/>
                <w:szCs w:val="20"/>
              </w:rPr>
              <w:t>.</w:t>
            </w:r>
          </w:p>
          <w:p w14:paraId="543A71CD" w14:textId="1322E4A8" w:rsidR="00E33CCF" w:rsidRPr="0042023A" w:rsidRDefault="009D741C" w:rsidP="00BC0646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sz w:val="20"/>
              </w:rPr>
            </w:pPr>
            <w:r w:rsidRPr="0042023A">
              <w:rPr>
                <w:rFonts w:cs="Arial"/>
                <w:sz w:val="20"/>
                <w:szCs w:val="20"/>
              </w:rPr>
              <w:t xml:space="preserve">Mandate the submission of datasets used in the study </w:t>
            </w:r>
            <w:r w:rsidR="00932B7D" w:rsidRPr="0042023A">
              <w:rPr>
                <w:rFonts w:cs="Arial"/>
                <w:sz w:val="20"/>
                <w:szCs w:val="20"/>
              </w:rPr>
              <w:t xml:space="preserve">to </w:t>
            </w:r>
            <w:r w:rsidRPr="0042023A">
              <w:rPr>
                <w:rFonts w:cs="Arial"/>
                <w:sz w:val="20"/>
                <w:szCs w:val="20"/>
              </w:rPr>
              <w:t>be submitted with the manuscript.</w:t>
            </w:r>
          </w:p>
          <w:p w14:paraId="612C9A84" w14:textId="77777777" w:rsidR="00E33CCF" w:rsidRDefault="00E33CCF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7309A04" w14:textId="77777777" w:rsidR="00E33CCF" w:rsidRDefault="00E33CCF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E9139AE" w14:textId="77777777" w:rsidR="00E33CCF" w:rsidRDefault="00E33CCF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45ECB2F" w14:textId="77777777" w:rsidR="00E33CCF" w:rsidRDefault="00E33CCF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3A5B765" w14:textId="77777777" w:rsidR="00E33CCF" w:rsidRDefault="00E33CCF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8819E3A" w14:textId="2357A9EF" w:rsidR="007E35B7" w:rsidRPr="007E35B7" w:rsidRDefault="00DD439D" w:rsidP="007E35B7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51EFFDA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14A39B8" w14:textId="35C4C698" w:rsidR="007E35B7" w:rsidRDefault="007E35B7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401F03" w14:textId="4A294341" w:rsidR="007E35B7" w:rsidRDefault="007E35B7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12D7855" w14:textId="00A6C511" w:rsidR="007E35B7" w:rsidRDefault="00CE5590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815CF">
              <w:rPr>
                <w:noProof/>
                <w:color w:val="E35F77" w:themeColor="accent4" w:themeTint="99"/>
                <w:lang w:val="en-US"/>
              </w:rPr>
              <w:drawing>
                <wp:inline distT="0" distB="0" distL="0" distR="0" wp14:anchorId="18E2DAB2" wp14:editId="400EF78A">
                  <wp:extent cx="6334126" cy="3362325"/>
                  <wp:effectExtent l="0" t="0" r="15875" b="15875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FA01BC8" w14:textId="79787B82" w:rsidR="001C4CFB" w:rsidRDefault="001C4CFB" w:rsidP="001C4CFB">
            <w:pPr>
              <w:rPr>
                <w:rFonts w:cs="Arial"/>
                <w:color w:val="000000" w:themeColor="text1"/>
                <w:sz w:val="20"/>
              </w:rPr>
            </w:pPr>
          </w:p>
          <w:p w14:paraId="6E128C0A" w14:textId="2DDEF85B" w:rsidR="00FF0E88" w:rsidRPr="001C4CFB" w:rsidRDefault="00F815CF" w:rsidP="008446DD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2FFE76F8" wp14:editId="5C77B68C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1146810</wp:posOffset>
                      </wp:positionV>
                      <wp:extent cx="1802764" cy="817245"/>
                      <wp:effectExtent l="0" t="57150" r="0" b="4000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2764" cy="817245"/>
                                <a:chOff x="0" y="0"/>
                                <a:chExt cx="1802764" cy="817245"/>
                              </a:xfrm>
                            </wpg:grpSpPr>
                            <wps:wsp>
                              <wps:cNvPr id="9" name="Text Box 1"/>
                              <wps:cNvSpPr txBox="1"/>
                              <wps:spPr>
                                <a:xfrm rot="2163981">
                                  <a:off x="0" y="38100"/>
                                  <a:ext cx="1802764" cy="49784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BEC235F" w14:textId="77777777" w:rsidR="0042023A" w:rsidRDefault="0042023A" w:rsidP="00F815C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B472"/>
                                        <w:sz w:val="20"/>
                                        <w:szCs w:val="20"/>
                                      </w:rPr>
                                      <w:t>Decrease No. of low citable documents (more than 5%)</w:t>
                                    </w:r>
                                  </w:p>
                                </w:txbxContent>
                              </wps:txbx>
                              <wps:bodyPr wrap="square" rtlCol="0"/>
                            </wps:wsp>
                            <wps:wsp>
                              <wps:cNvPr id="11" name="Straight Arrow Connector 10"/>
                              <wps:cNvCnPr/>
                              <wps:spPr>
                                <a:xfrm>
                                  <a:off x="228600" y="0"/>
                                  <a:ext cx="1133475" cy="817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E76F8" id="Group 4" o:spid="_x0000_s1026" style="position:absolute;margin-left:248.25pt;margin-top:90.3pt;width:141.95pt;height:64.35pt;z-index:251664896" coordsize="18027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top:381;width:18027;height:4978;rotation:2363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" filled="f" stroked="f">
                        <v:textbox>
                          <w:txbxContent>
                            <w:p w14:paraId="1BEC235F" w14:textId="77777777" w:rsidR="0042023A" w:rsidRDefault="0042023A" w:rsidP="00F815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472"/>
                                  <w:sz w:val="20"/>
                                  <w:szCs w:val="20"/>
                                </w:rPr>
                                <w:t>Decrease No. of low citable documents (more than 5%)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8" type="#_x0000_t32" style="position:absolute;left:2286;width:11334;height:8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" strokecolor="#548235" strokeweight="2.25pt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CA37CAC" wp14:editId="61392D70">
                  <wp:extent cx="6334126" cy="3362325"/>
                  <wp:effectExtent l="0" t="0" r="15875" b="1587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CD0A93" w:rsidRDefault="00362771" w:rsidP="00DF518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1D1B42" w:rsidRDefault="001D1B42" w:rsidP="00DF518A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42023A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42023A" w:rsidRPr="00E23C1B" w:rsidRDefault="0042023A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42023A" w:rsidRPr="00CD0A93" w:rsidRDefault="0042023A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1979455613"/>
          </w:sdtPr>
          <w:sdtEndPr>
            <w:rPr>
              <w:b/>
            </w:rPr>
          </w:sdtEndPr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385B5" w14:textId="6AD0F123" w:rsidR="0042023A" w:rsidRPr="0042023A" w:rsidRDefault="0042023A" w:rsidP="001D1B42">
                <w:pPr>
                  <w:rPr>
                    <w:rFonts w:cs="Arial"/>
                    <w:i/>
                    <w:color w:val="7F7F7F" w:themeColor="text2"/>
                    <w:sz w:val="16"/>
                  </w:rPr>
                </w:pPr>
                <w:r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>Improv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ing </w:t>
                </w:r>
                <w:r w:rsidRPr="006D0C3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Nature and Quality of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Submissions to the </w:t>
                </w:r>
                <w:r w:rsidRPr="0042023A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>Annals of Saudi Medicine</w:t>
                </w:r>
              </w:p>
            </w:tc>
          </w:sdtContent>
        </w:sdt>
      </w:tr>
      <w:tr w:rsidR="0042023A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5AB08F09" w:rsidR="0042023A" w:rsidRPr="00DD439D" w:rsidRDefault="0042023A" w:rsidP="00AB1783">
                <w:pPr>
                  <w:rPr>
                    <w:rFonts w:cs="Arial"/>
                    <w:sz w:val="20"/>
                    <w:szCs w:val="20"/>
                  </w:rPr>
                </w:pPr>
                <w:r w:rsidRPr="00F734D0">
                  <w:rPr>
                    <w:rFonts w:cs="Arial"/>
                    <w:sz w:val="20"/>
                    <w:szCs w:val="20"/>
                  </w:rPr>
                  <w:t>Prof. Nasser Al-Sanea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Editor-in-Chief</w:t>
                </w:r>
                <w:r>
                  <w:rPr>
                    <w:rFonts w:cs="Arial"/>
                    <w:sz w:val="20"/>
                    <w:szCs w:val="20"/>
                  </w:rPr>
                  <w:t xml:space="preserve"> of ASM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sz w:val="20"/>
                <w:szCs w:val="20"/>
              </w:rPr>
              <w:alias w:val="Project Members"/>
              <w:tag w:val="Project Members"/>
              <w:id w:val="-1661838756"/>
            </w:sdtPr>
            <w:sdtEndPr/>
            <w:sdtContent>
              <w:p w14:paraId="5D71497D" w14:textId="77777777" w:rsidR="0042023A" w:rsidRDefault="0042023A" w:rsidP="00AB1783">
                <w:pPr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Dr. Yaser Adi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Scientist</w:t>
                </w:r>
              </w:p>
              <w:p w14:paraId="5E1D36B8" w14:textId="70B6D7E8" w:rsidR="0042023A" w:rsidRPr="006354BC" w:rsidRDefault="0042023A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Amal Al-Ghammas</w:t>
                </w:r>
                <w:r w:rsidRPr="0042023A">
                  <w:rPr>
                    <w:rFonts w:cs="Arial"/>
                    <w:sz w:val="20"/>
                    <w:szCs w:val="20"/>
                  </w:rPr>
                  <w:t>,</w:t>
                </w:r>
                <w:r>
                  <w:rPr>
                    <w:rFonts w:cs="Arial"/>
                    <w:sz w:val="20"/>
                    <w:szCs w:val="20"/>
                  </w:rPr>
                  <w:t xml:space="preserve"> Editorial Supervi</w:t>
                </w:r>
                <w:r w:rsidRPr="0042023A">
                  <w:rPr>
                    <w:rFonts w:cs="Arial"/>
                    <w:sz w:val="20"/>
                    <w:szCs w:val="20"/>
                  </w:rPr>
                  <w:t xml:space="preserve">sor and </w:t>
                </w:r>
                <w:r w:rsidRPr="00F734D0">
                  <w:rPr>
                    <w:rFonts w:cs="Arial"/>
                    <w:sz w:val="20"/>
                    <w:szCs w:val="20"/>
                  </w:rPr>
                  <w:t>Senior Editorial Assistant</w:t>
                </w:r>
              </w:p>
              <w:p w14:paraId="11C9D0C2" w14:textId="5460C9F1" w:rsidR="0042023A" w:rsidRPr="0042023A" w:rsidRDefault="0042023A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42023A">
                  <w:rPr>
                    <w:rFonts w:cs="Arial"/>
                    <w:sz w:val="20"/>
                    <w:szCs w:val="20"/>
                  </w:rPr>
                  <w:t>Reina Tejano-Berina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42023A">
                  <w:rPr>
                    <w:rFonts w:cs="Arial"/>
                    <w:sz w:val="20"/>
                    <w:szCs w:val="20"/>
                  </w:rPr>
                  <w:t>Desktop Publisher</w:t>
                </w:r>
              </w:p>
              <w:p w14:paraId="67557925" w14:textId="77777777" w:rsidR="0042023A" w:rsidRPr="0042023A" w:rsidRDefault="0042023A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Janelle Vales</w:t>
                </w:r>
                <w:r w:rsidRPr="0042023A">
                  <w:rPr>
                    <w:rFonts w:cs="Arial"/>
                    <w:sz w:val="20"/>
                    <w:szCs w:val="20"/>
                  </w:rPr>
                  <w:t>-Yasay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Editorial Assistant</w:t>
                </w:r>
              </w:p>
              <w:p w14:paraId="7147CBE6" w14:textId="77777777" w:rsidR="0042023A" w:rsidRPr="006354BC" w:rsidRDefault="0042023A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Raquel Glorioso-Rivera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Editorial Assistant</w:t>
                </w:r>
              </w:p>
              <w:p w14:paraId="53684B26" w14:textId="6A662D2A" w:rsidR="0042023A" w:rsidRPr="00DD439D" w:rsidRDefault="0042023A" w:rsidP="0042023A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Kimberly Cristobal</w:t>
                </w:r>
                <w:r>
                  <w:rPr>
                    <w:rFonts w:cs="Arial"/>
                    <w:sz w:val="20"/>
                    <w:szCs w:val="20"/>
                  </w:rPr>
                  <w:t>, Editorial Assistant</w:t>
                </w:r>
              </w:p>
            </w:sdtContent>
          </w:sdt>
        </w:tc>
      </w:tr>
    </w:tbl>
    <w:p w14:paraId="29DEE789" w14:textId="2F3C87C4" w:rsidR="00B749DB" w:rsidRPr="00BC41EE" w:rsidRDefault="00B749DB" w:rsidP="00BC41EE">
      <w:pPr>
        <w:tabs>
          <w:tab w:val="left" w:pos="4311"/>
        </w:tabs>
        <w:rPr>
          <w:sz w:val="20"/>
          <w:szCs w:val="20"/>
        </w:rPr>
      </w:pPr>
    </w:p>
    <w:sectPr w:rsidR="00B749DB" w:rsidRPr="00BC41EE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0478" w14:textId="77777777" w:rsidR="00671040" w:rsidRDefault="00671040" w:rsidP="00DA3815">
      <w:pPr>
        <w:spacing w:line="240" w:lineRule="auto"/>
      </w:pPr>
      <w:r>
        <w:separator/>
      </w:r>
    </w:p>
  </w:endnote>
  <w:endnote w:type="continuationSeparator" w:id="0">
    <w:p w14:paraId="6B552CC8" w14:textId="77777777" w:rsidR="00671040" w:rsidRDefault="0067104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54C8" w14:textId="77777777" w:rsidR="00671040" w:rsidRDefault="00671040" w:rsidP="00DA3815">
      <w:pPr>
        <w:spacing w:line="240" w:lineRule="auto"/>
      </w:pPr>
      <w:r>
        <w:separator/>
      </w:r>
    </w:p>
  </w:footnote>
  <w:footnote w:type="continuationSeparator" w:id="0">
    <w:p w14:paraId="3279C1C5" w14:textId="77777777" w:rsidR="00671040" w:rsidRDefault="0067104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918E1"/>
    <w:multiLevelType w:val="hybridMultilevel"/>
    <w:tmpl w:val="C7A4821C"/>
    <w:lvl w:ilvl="0" w:tplc="F4C2722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EastAsia" w:hAnsi="Century Gothic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C46A5"/>
    <w:multiLevelType w:val="hybridMultilevel"/>
    <w:tmpl w:val="C8DE6A28"/>
    <w:lvl w:ilvl="0" w:tplc="EBAEF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091A"/>
    <w:multiLevelType w:val="hybridMultilevel"/>
    <w:tmpl w:val="3986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9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6"/>
  </w:num>
  <w:num w:numId="12">
    <w:abstractNumId w:val="25"/>
  </w:num>
  <w:num w:numId="13">
    <w:abstractNumId w:val="4"/>
  </w:num>
  <w:num w:numId="14">
    <w:abstractNumId w:val="17"/>
  </w:num>
  <w:num w:numId="15">
    <w:abstractNumId w:val="18"/>
  </w:num>
  <w:num w:numId="16">
    <w:abstractNumId w:val="30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4"/>
  </w:num>
  <w:num w:numId="22">
    <w:abstractNumId w:val="15"/>
  </w:num>
  <w:num w:numId="23">
    <w:abstractNumId w:val="11"/>
  </w:num>
  <w:num w:numId="24">
    <w:abstractNumId w:val="12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22"/>
  </w:num>
  <w:num w:numId="30">
    <w:abstractNumId w:val="3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21B3B"/>
    <w:rsid w:val="00076024"/>
    <w:rsid w:val="0008253B"/>
    <w:rsid w:val="00097EAF"/>
    <w:rsid w:val="000D71CC"/>
    <w:rsid w:val="000E06C4"/>
    <w:rsid w:val="000F31F0"/>
    <w:rsid w:val="001244EA"/>
    <w:rsid w:val="00125AEE"/>
    <w:rsid w:val="00136FE6"/>
    <w:rsid w:val="001942D3"/>
    <w:rsid w:val="001C31B9"/>
    <w:rsid w:val="001C4CFB"/>
    <w:rsid w:val="001D1B42"/>
    <w:rsid w:val="001E18CF"/>
    <w:rsid w:val="001E7C56"/>
    <w:rsid w:val="002221E0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A5351"/>
    <w:rsid w:val="003D4C9D"/>
    <w:rsid w:val="004010F0"/>
    <w:rsid w:val="0042023A"/>
    <w:rsid w:val="004354BE"/>
    <w:rsid w:val="00440AFE"/>
    <w:rsid w:val="00440CD7"/>
    <w:rsid w:val="004714F0"/>
    <w:rsid w:val="004910B3"/>
    <w:rsid w:val="00493ED8"/>
    <w:rsid w:val="004B20FD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0A08"/>
    <w:rsid w:val="0065184C"/>
    <w:rsid w:val="00671040"/>
    <w:rsid w:val="006C3F74"/>
    <w:rsid w:val="006C5CC5"/>
    <w:rsid w:val="006D0C34"/>
    <w:rsid w:val="006D63B1"/>
    <w:rsid w:val="0076391E"/>
    <w:rsid w:val="007862FE"/>
    <w:rsid w:val="00796C4F"/>
    <w:rsid w:val="00796C76"/>
    <w:rsid w:val="007A19AF"/>
    <w:rsid w:val="007D68EF"/>
    <w:rsid w:val="007E35B7"/>
    <w:rsid w:val="0080056A"/>
    <w:rsid w:val="008446DD"/>
    <w:rsid w:val="00847F33"/>
    <w:rsid w:val="008B786E"/>
    <w:rsid w:val="008E6640"/>
    <w:rsid w:val="00923B4A"/>
    <w:rsid w:val="00932B7D"/>
    <w:rsid w:val="00933FF8"/>
    <w:rsid w:val="00944197"/>
    <w:rsid w:val="00950AB9"/>
    <w:rsid w:val="0096144B"/>
    <w:rsid w:val="00964042"/>
    <w:rsid w:val="0097107A"/>
    <w:rsid w:val="00971508"/>
    <w:rsid w:val="00981B8B"/>
    <w:rsid w:val="009A5985"/>
    <w:rsid w:val="009B1578"/>
    <w:rsid w:val="009B76B3"/>
    <w:rsid w:val="009C47EA"/>
    <w:rsid w:val="009C4B13"/>
    <w:rsid w:val="009D741C"/>
    <w:rsid w:val="00A11756"/>
    <w:rsid w:val="00A205C1"/>
    <w:rsid w:val="00A22B24"/>
    <w:rsid w:val="00A2683F"/>
    <w:rsid w:val="00A70EA8"/>
    <w:rsid w:val="00A97082"/>
    <w:rsid w:val="00AA3EA1"/>
    <w:rsid w:val="00AB1783"/>
    <w:rsid w:val="00AD1A5F"/>
    <w:rsid w:val="00AE2E61"/>
    <w:rsid w:val="00AE5887"/>
    <w:rsid w:val="00AF2E89"/>
    <w:rsid w:val="00B13E10"/>
    <w:rsid w:val="00B236BD"/>
    <w:rsid w:val="00B57125"/>
    <w:rsid w:val="00B67535"/>
    <w:rsid w:val="00B749DB"/>
    <w:rsid w:val="00B9573A"/>
    <w:rsid w:val="00BA397A"/>
    <w:rsid w:val="00BC0646"/>
    <w:rsid w:val="00BC41EE"/>
    <w:rsid w:val="00BD5296"/>
    <w:rsid w:val="00BE35DC"/>
    <w:rsid w:val="00BE6482"/>
    <w:rsid w:val="00BF3E2E"/>
    <w:rsid w:val="00BF5A2A"/>
    <w:rsid w:val="00C02AC7"/>
    <w:rsid w:val="00C32F3D"/>
    <w:rsid w:val="00C345DC"/>
    <w:rsid w:val="00C441A9"/>
    <w:rsid w:val="00C7337A"/>
    <w:rsid w:val="00C76F33"/>
    <w:rsid w:val="00C84A93"/>
    <w:rsid w:val="00C949FF"/>
    <w:rsid w:val="00C94ACA"/>
    <w:rsid w:val="00C95492"/>
    <w:rsid w:val="00CA0979"/>
    <w:rsid w:val="00CB75A8"/>
    <w:rsid w:val="00CC0AD8"/>
    <w:rsid w:val="00CD0A93"/>
    <w:rsid w:val="00CE5590"/>
    <w:rsid w:val="00CE7AD3"/>
    <w:rsid w:val="00D1655C"/>
    <w:rsid w:val="00D94606"/>
    <w:rsid w:val="00DA170C"/>
    <w:rsid w:val="00DA3815"/>
    <w:rsid w:val="00DD439D"/>
    <w:rsid w:val="00DE13BD"/>
    <w:rsid w:val="00DE6751"/>
    <w:rsid w:val="00DF518A"/>
    <w:rsid w:val="00E23C1B"/>
    <w:rsid w:val="00E33CCF"/>
    <w:rsid w:val="00E34A14"/>
    <w:rsid w:val="00E53924"/>
    <w:rsid w:val="00E74631"/>
    <w:rsid w:val="00E7787A"/>
    <w:rsid w:val="00EB0D7B"/>
    <w:rsid w:val="00EC3007"/>
    <w:rsid w:val="00ED38E1"/>
    <w:rsid w:val="00ED6948"/>
    <w:rsid w:val="00F10739"/>
    <w:rsid w:val="00F11F8C"/>
    <w:rsid w:val="00F31B36"/>
    <w:rsid w:val="00F3533A"/>
    <w:rsid w:val="00F63B9D"/>
    <w:rsid w:val="00F648F0"/>
    <w:rsid w:val="00F66496"/>
    <w:rsid w:val="00F815CF"/>
    <w:rsid w:val="00F87C42"/>
    <w:rsid w:val="00FC3EA3"/>
    <w:rsid w:val="00FF0E88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5E02FF74-975A-4317-981C-3B1DB56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15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7C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Comparing the percentage of published papers in 2015 &amp; 2016  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AA1D37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AF9-416A-B259-9BEC7839D30B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Sheet1!$A$3:$A$5</c:f>
              <c:strCache>
                <c:ptCount val="3"/>
                <c:pt idx="0">
                  <c:v>Number of Published Original Articles </c:v>
                </c:pt>
                <c:pt idx="1">
                  <c:v>Number of Standard Guidelines </c:v>
                </c:pt>
                <c:pt idx="2">
                  <c:v>Number of Submissions from United States of America </c:v>
                </c:pt>
              </c:strCache>
            </c:strRef>
          </c:cat>
          <c:val>
            <c:numRef>
              <c:f>Sheet1!$B$3:$B$5</c:f>
              <c:numCache>
                <c:formatCode>0%</c:formatCode>
                <c:ptCount val="3"/>
                <c:pt idx="0">
                  <c:v>0.64</c:v>
                </c:pt>
                <c:pt idx="1">
                  <c:v>0.06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94-457B-B9EE-FD150C5BFD75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Sheet1!$A$3:$A$5</c:f>
              <c:strCache>
                <c:ptCount val="3"/>
                <c:pt idx="0">
                  <c:v>Number of Published Original Articles </c:v>
                </c:pt>
                <c:pt idx="1">
                  <c:v>Number of Standard Guidelines </c:v>
                </c:pt>
                <c:pt idx="2">
                  <c:v>Number of Submissions from United States of America </c:v>
                </c:pt>
              </c:strCache>
            </c:strRef>
          </c:cat>
          <c:val>
            <c:numRef>
              <c:f>Sheet1!$C$3:$C$5</c:f>
              <c:numCache>
                <c:formatCode>0%</c:formatCode>
                <c:ptCount val="3"/>
                <c:pt idx="0">
                  <c:v>0.67</c:v>
                </c:pt>
                <c:pt idx="1">
                  <c:v>0.17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94-457B-B9EE-FD150C5BF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138975624"/>
        <c:axId val="-2137631400"/>
      </c:barChart>
      <c:catAx>
        <c:axId val="-213897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7631400"/>
        <c:crosses val="autoZero"/>
        <c:auto val="1"/>
        <c:lblAlgn val="ctr"/>
        <c:lblOffset val="100"/>
        <c:noMultiLvlLbl val="0"/>
      </c:catAx>
      <c:valAx>
        <c:axId val="-213763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897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266860063544701"/>
          <c:y val="0.90673566654026605"/>
          <c:w val="0.43461267341582299"/>
          <c:h val="7.0601443941320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Comparing the percentage of documents of low citability (case reports) in 2015 &amp; 2016  </a:t>
            </a:r>
            <a:endParaRPr lang="en-US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AA1D37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</c:f>
              <c:strCache>
                <c:ptCount val="1"/>
                <c:pt idx="0">
                  <c:v>Low-citable documents (case reports)</c:v>
                </c:pt>
              </c:strCache>
            </c:strRef>
          </c:cat>
          <c:val>
            <c:numRef>
              <c:f>Sheet1!$B$6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3-4A46-AE1D-DB95DC05C657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</c:f>
              <c:strCache>
                <c:ptCount val="1"/>
                <c:pt idx="0">
                  <c:v>Low-citable documents (case reports)</c:v>
                </c:pt>
              </c:strCache>
            </c:strRef>
          </c:cat>
          <c:val>
            <c:numRef>
              <c:f>Sheet1!$C$6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C3-4A46-AE1D-DB95DC05C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138361976"/>
        <c:axId val="-2137838408"/>
      </c:barChart>
      <c:catAx>
        <c:axId val="-213836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7838408"/>
        <c:crosses val="autoZero"/>
        <c:auto val="1"/>
        <c:lblAlgn val="ctr"/>
        <c:lblOffset val="100"/>
        <c:noMultiLvlLbl val="0"/>
      </c:catAx>
      <c:valAx>
        <c:axId val="-2137838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836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30FA7152474D6CACA964750E8B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9EF0-FEE4-4D25-8579-916FD975333E}"/>
      </w:docPartPr>
      <w:docPartBody>
        <w:p w:rsidR="00000000" w:rsidRDefault="00CE51FC" w:rsidP="00CE51FC">
          <w:pPr>
            <w:pStyle w:val="8730FA7152474D6CACA964750E8B109E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26AE5"/>
    <w:rsid w:val="0013145F"/>
    <w:rsid w:val="00284AB5"/>
    <w:rsid w:val="002A5D92"/>
    <w:rsid w:val="00396ADC"/>
    <w:rsid w:val="004A7C01"/>
    <w:rsid w:val="004C412D"/>
    <w:rsid w:val="004D0530"/>
    <w:rsid w:val="005C22A9"/>
    <w:rsid w:val="00635673"/>
    <w:rsid w:val="0066372D"/>
    <w:rsid w:val="006A69FA"/>
    <w:rsid w:val="007E62B5"/>
    <w:rsid w:val="007F170F"/>
    <w:rsid w:val="008E5EB2"/>
    <w:rsid w:val="009C63E1"/>
    <w:rsid w:val="00A43055"/>
    <w:rsid w:val="00B254DF"/>
    <w:rsid w:val="00B46B7A"/>
    <w:rsid w:val="00BC5EC8"/>
    <w:rsid w:val="00C253A4"/>
    <w:rsid w:val="00C84D95"/>
    <w:rsid w:val="00CC3F6B"/>
    <w:rsid w:val="00CE51FC"/>
    <w:rsid w:val="00E17380"/>
    <w:rsid w:val="00E26A6E"/>
    <w:rsid w:val="00F52FD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1FC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442DF9778AE449228D9EDCF7EA2C920B">
    <w:name w:val="442DF9778AE449228D9EDCF7EA2C920B"/>
    <w:rsid w:val="00396ADC"/>
    <w:rPr>
      <w:lang w:val="en-US" w:eastAsia="en-US"/>
    </w:rPr>
  </w:style>
  <w:style w:type="paragraph" w:customStyle="1" w:styleId="AAEF5006EAD14C3A995BDF22EEDEC2FA">
    <w:name w:val="AAEF5006EAD14C3A995BDF22EEDEC2FA"/>
    <w:rsid w:val="00396ADC"/>
    <w:rPr>
      <w:lang w:val="en-US" w:eastAsia="en-US"/>
    </w:rPr>
  </w:style>
  <w:style w:type="paragraph" w:customStyle="1" w:styleId="B21D695F5C764446B06E22F90EB0821E">
    <w:name w:val="B21D695F5C764446B06E22F90EB0821E"/>
    <w:rsid w:val="007F170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3DAC4960F23B4EB4E10674D67A0D63">
    <w:name w:val="563DAC4960F23B4EB4E10674D67A0D63"/>
    <w:rsid w:val="007F170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730FA7152474D6CACA964750E8B109E">
    <w:name w:val="8730FA7152474D6CACA964750E8B109E"/>
    <w:rsid w:val="00CE51F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 Report Colours">
    <a:dk1>
      <a:sysClr val="windowText" lastClr="000000"/>
    </a:dk1>
    <a:lt1>
      <a:sysClr val="window" lastClr="FFFFFF"/>
    </a:lt1>
    <a:dk2>
      <a:srgbClr val="7F7F7F"/>
    </a:dk2>
    <a:lt2>
      <a:srgbClr val="E7E6E6"/>
    </a:lt2>
    <a:accent1>
      <a:srgbClr val="239D46"/>
    </a:accent1>
    <a:accent2>
      <a:srgbClr val="00A3E4"/>
    </a:accent2>
    <a:accent3>
      <a:srgbClr val="F99F2A"/>
    </a:accent3>
    <a:accent4>
      <a:srgbClr val="AA1D37"/>
    </a:accent4>
    <a:accent5>
      <a:srgbClr val="762773"/>
    </a:accent5>
    <a:accent6>
      <a:srgbClr val="00B472"/>
    </a:accent6>
    <a:hlink>
      <a:srgbClr val="000000"/>
    </a:hlink>
    <a:folHlink>
      <a:srgbClr val="000000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D964-76DF-44CD-AE62-F9A12615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36</cp:revision>
  <cp:lastPrinted>2017-12-31T20:40:00Z</cp:lastPrinted>
  <dcterms:created xsi:type="dcterms:W3CDTF">2018-02-26T15:42:00Z</dcterms:created>
  <dcterms:modified xsi:type="dcterms:W3CDTF">2018-03-14T06:15:00Z</dcterms:modified>
</cp:coreProperties>
</file>