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545647A5" w14:textId="77777777" w:rsidR="00BD470B" w:rsidRPr="00BD470B" w:rsidRDefault="00BD470B" w:rsidP="00BD470B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r w:rsidRPr="00BD470B">
              <w:rPr>
                <w:rFonts w:cs="Arial"/>
                <w:bCs/>
                <w:sz w:val="20"/>
                <w:szCs w:val="20"/>
                <w:lang w:val="en-US"/>
              </w:rPr>
              <w:t>Development of a new vacuum system for the CS-30 Cyclotron</w:t>
            </w:r>
          </w:p>
          <w:p w14:paraId="1CB22C24" w14:textId="67FF9DD1" w:rsidR="00C476C9" w:rsidRPr="00BD470B" w:rsidRDefault="00C476C9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543BB771" w:rsidR="00B749DB" w:rsidRPr="00321654" w:rsidRDefault="00BD470B" w:rsidP="00BD470B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D470B">
                  <w:rPr>
                    <w:rFonts w:cs="Arial"/>
                    <w:color w:val="000000" w:themeColor="text1"/>
                    <w:sz w:val="20"/>
                  </w:rPr>
                  <w:t>Cyclotron and Radiopharmaceuticals:</w:t>
                </w:r>
                <w:r>
                  <w:rPr>
                    <w:rFonts w:cs="Arial"/>
                    <w:color w:val="000000" w:themeColor="text1"/>
                    <w:sz w:val="20"/>
                  </w:rPr>
                  <w:br/>
                </w:r>
                <w:r w:rsidRPr="00BD470B">
                  <w:rPr>
                    <w:rFonts w:cs="Arial"/>
                    <w:color w:val="000000" w:themeColor="text1"/>
                    <w:sz w:val="20"/>
                  </w:rPr>
                  <w:t>Cyclotron section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6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0D30A13" w:rsidR="00B749DB" w:rsidRPr="00321654" w:rsidRDefault="00BD470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2A231C3" w:rsidR="00B749DB" w:rsidRPr="00321654" w:rsidRDefault="00C476C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1A34E0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00F47813" w14:textId="77777777" w:rsidR="00427E57" w:rsidRPr="0037000B" w:rsidRDefault="00427E5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8449864" w14:textId="77777777" w:rsidR="008C15CE" w:rsidRPr="008C15CE" w:rsidRDefault="008C15CE" w:rsidP="008C15CE">
            <w:pPr>
              <w:rPr>
                <w:rFonts w:cs="Arial"/>
                <w:sz w:val="20"/>
                <w:szCs w:val="20"/>
              </w:rPr>
            </w:pPr>
            <w:r w:rsidRPr="008C15CE">
              <w:rPr>
                <w:rFonts w:cs="Arial"/>
                <w:sz w:val="20"/>
                <w:szCs w:val="20"/>
              </w:rPr>
              <w:t>Cyclotron vacuum system is responsible for evacuating the cyclotron tank from residual gases and, hence, improve the particles acceleration and increasing extraction efficiency.</w:t>
            </w:r>
          </w:p>
          <w:p w14:paraId="7A973D38" w14:textId="031C81AF" w:rsidR="008C15CE" w:rsidRPr="008C15CE" w:rsidRDefault="008C15CE" w:rsidP="002A7338">
            <w:pPr>
              <w:rPr>
                <w:rFonts w:cs="Arial"/>
                <w:sz w:val="20"/>
                <w:szCs w:val="20"/>
              </w:rPr>
            </w:pPr>
            <w:r w:rsidRPr="008C15CE">
              <w:rPr>
                <w:rFonts w:cs="Arial"/>
                <w:sz w:val="20"/>
                <w:szCs w:val="20"/>
              </w:rPr>
              <w:t xml:space="preserve">The original vacuum system was installed in 1981 and had never been replaced. Recently, we have noticed that the vacuum level is poor and continuous crowbarring was observed when the </w:t>
            </w:r>
            <w:r w:rsidR="002A7338">
              <w:rPr>
                <w:rFonts w:cs="Arial"/>
                <w:sz w:val="20"/>
                <w:szCs w:val="20"/>
              </w:rPr>
              <w:t>electrodes</w:t>
            </w:r>
            <w:r w:rsidRPr="008C15CE">
              <w:rPr>
                <w:rFonts w:cs="Arial"/>
                <w:sz w:val="20"/>
                <w:szCs w:val="20"/>
              </w:rPr>
              <w:t xml:space="preserve"> voltage was increased. Low vacuum level inside the extracted region will disturb the beam during acceleration </w:t>
            </w:r>
            <w:r w:rsidR="0095054F" w:rsidRPr="008C15CE">
              <w:rPr>
                <w:rFonts w:cs="Arial"/>
                <w:sz w:val="20"/>
                <w:szCs w:val="20"/>
              </w:rPr>
              <w:t>and</w:t>
            </w:r>
            <w:r w:rsidR="0095054F">
              <w:rPr>
                <w:rFonts w:cs="Arial"/>
                <w:sz w:val="20"/>
                <w:szCs w:val="20"/>
              </w:rPr>
              <w:t>, hence,</w:t>
            </w:r>
            <w:r w:rsidRPr="008C15CE">
              <w:rPr>
                <w:rFonts w:cs="Arial"/>
                <w:sz w:val="20"/>
                <w:szCs w:val="20"/>
              </w:rPr>
              <w:t xml:space="preserve"> increase losses. </w:t>
            </w:r>
            <w:bookmarkStart w:id="0" w:name="_GoBack"/>
            <w:bookmarkEnd w:id="0"/>
          </w:p>
          <w:p w14:paraId="550391E2" w14:textId="7470E218" w:rsidR="00B749DB" w:rsidRPr="00427E57" w:rsidRDefault="008C15CE" w:rsidP="00427E57">
            <w:pPr>
              <w:rPr>
                <w:rFonts w:cs="Arial"/>
                <w:color w:val="00A3E4" w:themeColor="accent2"/>
                <w:sz w:val="20"/>
                <w:szCs w:val="20"/>
              </w:rPr>
            </w:pPr>
            <w:r w:rsidRPr="008C15CE">
              <w:rPr>
                <w:rFonts w:cs="Arial"/>
                <w:color w:val="00A3E4" w:themeColor="accent2"/>
                <w:sz w:val="20"/>
                <w:szCs w:val="20"/>
              </w:rPr>
              <w:t> </w:t>
            </w:r>
          </w:p>
        </w:tc>
        <w:tc>
          <w:tcPr>
            <w:tcW w:w="5256" w:type="dxa"/>
            <w:shd w:val="clear" w:color="auto" w:fill="auto"/>
          </w:tcPr>
          <w:p w14:paraId="6F8F5EE5" w14:textId="3DAF201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026F9649" w14:textId="77777777" w:rsidR="00427E57" w:rsidRPr="004910B3" w:rsidRDefault="00427E5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C283882" w14:textId="1713BBD2" w:rsidR="008C15CE" w:rsidRPr="008C15CE" w:rsidRDefault="008C15CE" w:rsidP="00957294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8C15CE">
              <w:rPr>
                <w:rFonts w:cs="Arial"/>
                <w:color w:val="000000" w:themeColor="text1"/>
                <w:sz w:val="20"/>
                <w:lang w:val="en-US"/>
              </w:rPr>
              <w:t>To develop a vacuum system to increase the vacuum level inside the cyclotron by at least 25%</w:t>
            </w:r>
            <w:r w:rsidR="00957294">
              <w:rPr>
                <w:rFonts w:cs="Arial"/>
                <w:color w:val="000000" w:themeColor="text1"/>
                <w:sz w:val="20"/>
                <w:lang w:val="en-US"/>
              </w:rPr>
              <w:t xml:space="preserve"> from the baseline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;</w:t>
            </w:r>
            <w:r w:rsidRPr="008C15CE">
              <w:rPr>
                <w:rFonts w:cs="Arial"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t</w:t>
            </w:r>
            <w:r w:rsidRPr="008C15CE">
              <w:rPr>
                <w:rFonts w:cs="Arial"/>
                <w:color w:val="000000" w:themeColor="text1"/>
                <w:sz w:val="20"/>
                <w:lang w:val="en-US"/>
              </w:rPr>
              <w:t>his will improve the production of the isotope produced by the CS-30 cyclotron.</w:t>
            </w:r>
          </w:p>
          <w:p w14:paraId="0EF0C16A" w14:textId="6AA1CC51" w:rsidR="00B749DB" w:rsidRPr="008C15CE" w:rsidRDefault="00B749DB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36D97522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4F6F6075" w14:textId="77777777" w:rsidR="00427E57" w:rsidRPr="0037000B" w:rsidRDefault="00427E5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106D8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106D8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106D8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106D8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106D82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106D82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0DE531BC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CB1AA27" w14:textId="77777777" w:rsidR="00427E57" w:rsidRDefault="00427E57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C454DE6" w:rsidR="00B749DB" w:rsidRPr="0037000B" w:rsidRDefault="00957294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Effective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610E7F23" w14:textId="299EA570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8C15C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3F6D69">
              <w:trPr>
                <w:trHeight w:val="328"/>
              </w:trPr>
              <w:tc>
                <w:tcPr>
                  <w:tcW w:w="5308" w:type="dxa"/>
                </w:tcPr>
                <w:p w14:paraId="197447C8" w14:textId="21CEF8DB" w:rsidR="008E400D" w:rsidRPr="008E49C2" w:rsidRDefault="00957294" w:rsidP="008E49C2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V</w:t>
                  </w:r>
                  <w:r w:rsidR="008C15CE" w:rsidRPr="008C15CE">
                    <w:rPr>
                      <w:rFonts w:cs="Arial"/>
                      <w:color w:val="000000" w:themeColor="text1"/>
                      <w:sz w:val="20"/>
                    </w:rPr>
                    <w:t>acuum level inside the cyclotron</w:t>
                  </w:r>
                  <w:r w:rsidR="008C15CE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</w:tc>
              <w:tc>
                <w:tcPr>
                  <w:tcW w:w="5308" w:type="dxa"/>
                </w:tcPr>
                <w:p w14:paraId="1CF29601" w14:textId="7D8857A4" w:rsidR="008E400D" w:rsidRPr="002A5C50" w:rsidRDefault="008C15CE" w:rsidP="002A5C5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A5C50">
                    <w:rPr>
                      <w:rFonts w:cs="Arial"/>
                      <w:color w:val="000000" w:themeColor="text1"/>
                      <w:sz w:val="20"/>
                    </w:rPr>
                    <w:t>At least by 25%</w:t>
                  </w:r>
                  <w:r w:rsidR="00957294">
                    <w:rPr>
                      <w:rFonts w:cs="Arial"/>
                      <w:color w:val="000000" w:themeColor="text1"/>
                      <w:sz w:val="20"/>
                    </w:rPr>
                    <w:t xml:space="preserve"> from the baseline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8C15CE">
        <w:trPr>
          <w:trHeight w:val="1894"/>
        </w:trPr>
        <w:tc>
          <w:tcPr>
            <w:tcW w:w="10842" w:type="dxa"/>
          </w:tcPr>
          <w:p w14:paraId="6A17C761" w14:textId="372A1FF2" w:rsidR="003F6D69" w:rsidRDefault="003F6D69" w:rsidP="003F6D69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D330A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FD330A">
              <w:rPr>
                <w:rFonts w:cs="Arial"/>
                <w:color w:val="7F7F7F" w:themeColor="text2"/>
                <w:sz w:val="20"/>
              </w:rPr>
              <w:t>Overview of key steps/work completed</w:t>
            </w:r>
            <w:r w:rsidRPr="00FD330A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61869E4" w14:textId="77777777" w:rsidR="00427E57" w:rsidRPr="00FD330A" w:rsidRDefault="00427E57" w:rsidP="003F6D69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FE15F2" w14:textId="77777777" w:rsidR="00427E57" w:rsidRPr="00427E57" w:rsidRDefault="00427E57" w:rsidP="00427E57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144" w:hanging="144"/>
              <w:rPr>
                <w:rFonts w:cs="Arial"/>
                <w:sz w:val="20"/>
                <w:szCs w:val="20"/>
              </w:rPr>
            </w:pPr>
            <w:r w:rsidRPr="00427E57">
              <w:rPr>
                <w:rFonts w:cs="Arial"/>
                <w:sz w:val="20"/>
                <w:lang w:val="en-US"/>
              </w:rPr>
              <w:t xml:space="preserve">1- </w:t>
            </w:r>
            <w:r w:rsidRPr="00427E57">
              <w:rPr>
                <w:rFonts w:cs="Arial"/>
                <w:sz w:val="20"/>
                <w:szCs w:val="20"/>
              </w:rPr>
              <w:t>New system (hardware and software) was developed to improve the vacuum level inside the cyclotron.</w:t>
            </w:r>
          </w:p>
          <w:p w14:paraId="229C8DE7" w14:textId="77777777" w:rsidR="00427E57" w:rsidRPr="00427E57" w:rsidRDefault="00427E57" w:rsidP="00427E57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144" w:hanging="144"/>
              <w:rPr>
                <w:rFonts w:cs="Arial"/>
                <w:sz w:val="20"/>
                <w:szCs w:val="20"/>
              </w:rPr>
            </w:pPr>
            <w:r w:rsidRPr="00427E57">
              <w:rPr>
                <w:rFonts w:cs="Arial"/>
                <w:sz w:val="20"/>
                <w:szCs w:val="20"/>
              </w:rPr>
              <w:t>2- Design and simulate the system using Solidworks and Labview in-house by department’s engineers.</w:t>
            </w:r>
          </w:p>
          <w:p w14:paraId="6AFC981A" w14:textId="77777777" w:rsidR="00427E57" w:rsidRPr="00427E57" w:rsidRDefault="00427E57" w:rsidP="00427E57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144" w:hanging="144"/>
              <w:rPr>
                <w:rFonts w:cs="Arial"/>
                <w:sz w:val="20"/>
                <w:szCs w:val="20"/>
              </w:rPr>
            </w:pPr>
            <w:r w:rsidRPr="00427E57">
              <w:rPr>
                <w:rFonts w:cs="Arial"/>
                <w:sz w:val="20"/>
                <w:szCs w:val="20"/>
              </w:rPr>
              <w:t>3- Fabricate the hardware in the Cyclotron precision machine shop.</w:t>
            </w:r>
          </w:p>
          <w:p w14:paraId="3E6B6EFF" w14:textId="77777777" w:rsidR="002A5C50" w:rsidRPr="00427E57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  <w:lang w:val="en-US"/>
              </w:rPr>
            </w:pPr>
          </w:p>
          <w:p w14:paraId="74A1333E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5FA16A7E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0251A2E0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4D8445D8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2FF7697E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52DAC83A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6F3BAE55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7AC3D5A7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7D0E688D" w14:textId="77777777" w:rsidR="002A5C50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  <w:p w14:paraId="5900E502" w14:textId="45E854EA" w:rsidR="002A5C50" w:rsidRPr="00DD439D" w:rsidRDefault="002A5C50" w:rsidP="008C15CE">
            <w:pPr>
              <w:pStyle w:val="ListParagraph"/>
              <w:ind w:left="360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957294">
        <w:trPr>
          <w:trHeight w:val="12049"/>
        </w:trPr>
        <w:tc>
          <w:tcPr>
            <w:tcW w:w="10842" w:type="dxa"/>
          </w:tcPr>
          <w:p w14:paraId="4B182767" w14:textId="2B860365" w:rsidR="00B749DB" w:rsidRPr="00DD439D" w:rsidRDefault="00427E5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color w:val="AA1D37" w:themeColor="accent4"/>
                <w:sz w:val="20"/>
              </w:rPr>
              <w:lastRenderedPageBreak/>
              <w:t>R</w:t>
            </w:r>
            <w:r w:rsidR="00B749DB" w:rsidRPr="00581F4F">
              <w:rPr>
                <w:rFonts w:cs="Arial"/>
                <w:b/>
                <w:color w:val="AA1D37" w:themeColor="accent4"/>
                <w:sz w:val="20"/>
              </w:rPr>
              <w:t xml:space="preserve">esults: </w:t>
            </w:r>
            <w:r w:rsidR="00B749DB"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6764BEA6" w14:textId="7A187293" w:rsidR="009E461E" w:rsidRDefault="00B749DB" w:rsidP="00427E57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</w:p>
          <w:p w14:paraId="5C821326" w14:textId="77777777" w:rsidR="002A7338" w:rsidRDefault="002A7338" w:rsidP="00427E57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16F0641F" w14:textId="7B6B4D05" w:rsidR="002A7338" w:rsidRPr="00427E57" w:rsidRDefault="002A7338" w:rsidP="00427E57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b/>
                <w:noProof/>
                <w:color w:val="00A3E4" w:themeColor="accent2"/>
                <w:sz w:val="20"/>
                <w:lang w:val="en-US"/>
              </w:rPr>
              <w:drawing>
                <wp:inline distT="0" distB="0" distL="0" distR="0" wp14:anchorId="5E76C1B5" wp14:editId="230045CA">
                  <wp:extent cx="6645910" cy="3496310"/>
                  <wp:effectExtent l="0" t="0" r="254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acuum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49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29B85" w14:textId="2ED74B0D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77777777" w:rsidR="009E461E" w:rsidRPr="009E461E" w:rsidRDefault="009E461E" w:rsidP="009E461E"/>
          <w:p w14:paraId="160B22DB" w14:textId="0E20624D" w:rsidR="00B749DB" w:rsidRPr="003F6D69" w:rsidRDefault="003F6D69" w:rsidP="009E461E">
            <w:pPr>
              <w:rPr>
                <w:u w:val="single"/>
              </w:rPr>
            </w:pPr>
            <w:r w:rsidRPr="003F6D69">
              <w:rPr>
                <w:noProof/>
                <w:u w:val="single"/>
                <w:lang w:val="en-US"/>
              </w:rPr>
              <w:drawing>
                <wp:inline distT="0" distB="0" distL="0" distR="0" wp14:anchorId="0B67E53D" wp14:editId="143935B0">
                  <wp:extent cx="6645910" cy="2958695"/>
                  <wp:effectExtent l="0" t="0" r="2540" b="133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15A44F80" w:rsidR="0096065F" w:rsidRPr="00BD470B" w:rsidRDefault="00427E57" w:rsidP="00BD470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Faisal AlR</w:t>
                </w:r>
                <w:r w:rsidR="00BD470B" w:rsidRPr="00BD470B">
                  <w:rPr>
                    <w:rFonts w:cs="Arial"/>
                    <w:sz w:val="20"/>
                    <w:szCs w:val="20"/>
                  </w:rPr>
                  <w:t>umayan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490AC" w14:textId="3FCBD336" w:rsidR="00BD470B" w:rsidRPr="00BD470B" w:rsidRDefault="00BD470B" w:rsidP="00BD470B">
                <w:pPr>
                  <w:rPr>
                    <w:rFonts w:cs="Arial"/>
                    <w:sz w:val="20"/>
                    <w:szCs w:val="20"/>
                  </w:rPr>
                </w:pPr>
                <w:r w:rsidRPr="00BD470B">
                  <w:rPr>
                    <w:rFonts w:cs="Arial"/>
                    <w:sz w:val="20"/>
                    <w:szCs w:val="20"/>
                  </w:rPr>
                  <w:t>John Schneider</w:t>
                </w:r>
              </w:p>
              <w:p w14:paraId="3FCEF91E" w14:textId="6372A1A6" w:rsidR="00BD470B" w:rsidRPr="00BD470B" w:rsidRDefault="00BD470B" w:rsidP="00190B18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D470B">
                  <w:rPr>
                    <w:rFonts w:cs="Arial"/>
                    <w:sz w:val="20"/>
                    <w:szCs w:val="20"/>
                    <w:lang w:val="en-US"/>
                  </w:rPr>
                  <w:t>Amr Hendy</w:t>
                </w:r>
              </w:p>
              <w:p w14:paraId="46F42536" w14:textId="77777777" w:rsidR="00BD470B" w:rsidRPr="00BD470B" w:rsidRDefault="00BD470B" w:rsidP="00BD470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D470B">
                  <w:rPr>
                    <w:rFonts w:cs="Arial"/>
                    <w:sz w:val="20"/>
                    <w:szCs w:val="20"/>
                    <w:lang w:val="en-US"/>
                  </w:rPr>
                  <w:t>Qassem Akkam</w:t>
                </w:r>
              </w:p>
              <w:p w14:paraId="1DBDFE2B" w14:textId="05257E90" w:rsidR="00BD470B" w:rsidRPr="00BD470B" w:rsidRDefault="00BD470B" w:rsidP="00BD470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D470B">
                  <w:rPr>
                    <w:rFonts w:cs="Arial"/>
                    <w:sz w:val="20"/>
                    <w:szCs w:val="20"/>
                    <w:lang w:val="en-US"/>
                  </w:rPr>
                  <w:t>Ahmed Al-G</w:t>
                </w:r>
                <w:r w:rsidR="002A7338">
                  <w:rPr>
                    <w:rFonts w:cs="Arial"/>
                    <w:sz w:val="20"/>
                    <w:szCs w:val="20"/>
                    <w:lang w:val="en-US"/>
                  </w:rPr>
                  <w:t>h</w:t>
                </w:r>
                <w:r w:rsidRPr="00BD470B">
                  <w:rPr>
                    <w:rFonts w:cs="Arial"/>
                    <w:sz w:val="20"/>
                    <w:szCs w:val="20"/>
                    <w:lang w:val="en-US"/>
                  </w:rPr>
                  <w:t>aith</w:t>
                </w:r>
              </w:p>
              <w:p w14:paraId="13B44EB4" w14:textId="77777777" w:rsidR="00BD470B" w:rsidRPr="00BD470B" w:rsidRDefault="00BD470B" w:rsidP="00BD470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D470B">
                  <w:rPr>
                    <w:rFonts w:cs="Arial"/>
                    <w:sz w:val="20"/>
                    <w:szCs w:val="20"/>
                    <w:lang w:val="en-US"/>
                  </w:rPr>
                  <w:t>Salam Rahma</w:t>
                </w:r>
              </w:p>
              <w:p w14:paraId="097282BB" w14:textId="77777777" w:rsidR="00BD470B" w:rsidRPr="00BD470B" w:rsidRDefault="00BD470B" w:rsidP="00BD470B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</w:p>
              <w:p w14:paraId="68D5A190" w14:textId="63383070" w:rsidR="0096065F" w:rsidRPr="00BD470B" w:rsidRDefault="0096065F" w:rsidP="00714581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957294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B163" w14:textId="77777777" w:rsidR="00106D82" w:rsidRDefault="00106D82" w:rsidP="00DA3815">
      <w:pPr>
        <w:spacing w:line="240" w:lineRule="auto"/>
      </w:pPr>
      <w:r>
        <w:separator/>
      </w:r>
    </w:p>
  </w:endnote>
  <w:endnote w:type="continuationSeparator" w:id="0">
    <w:p w14:paraId="21C1B7CC" w14:textId="77777777" w:rsidR="00106D82" w:rsidRDefault="00106D82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47AD" w14:textId="77777777" w:rsidR="00106D82" w:rsidRDefault="00106D82" w:rsidP="00DA3815">
      <w:pPr>
        <w:spacing w:line="240" w:lineRule="auto"/>
      </w:pPr>
      <w:r>
        <w:separator/>
      </w:r>
    </w:p>
  </w:footnote>
  <w:footnote w:type="continuationSeparator" w:id="0">
    <w:p w14:paraId="7957231E" w14:textId="77777777" w:rsidR="00106D82" w:rsidRDefault="00106D82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253B"/>
    <w:rsid w:val="00097EAF"/>
    <w:rsid w:val="000D71CC"/>
    <w:rsid w:val="000E06C4"/>
    <w:rsid w:val="000F31F0"/>
    <w:rsid w:val="00106D82"/>
    <w:rsid w:val="001244EA"/>
    <w:rsid w:val="00124C6D"/>
    <w:rsid w:val="00125AEE"/>
    <w:rsid w:val="00190B18"/>
    <w:rsid w:val="001942D3"/>
    <w:rsid w:val="001C31B9"/>
    <w:rsid w:val="001D1B42"/>
    <w:rsid w:val="001E18CF"/>
    <w:rsid w:val="001E7C56"/>
    <w:rsid w:val="0023755E"/>
    <w:rsid w:val="00274E65"/>
    <w:rsid w:val="00276635"/>
    <w:rsid w:val="00294548"/>
    <w:rsid w:val="00297D61"/>
    <w:rsid w:val="002A5C50"/>
    <w:rsid w:val="002A7338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D4C9D"/>
    <w:rsid w:val="003F6D69"/>
    <w:rsid w:val="00427E57"/>
    <w:rsid w:val="004354BE"/>
    <w:rsid w:val="00440AFE"/>
    <w:rsid w:val="004714F0"/>
    <w:rsid w:val="004820D2"/>
    <w:rsid w:val="004910B3"/>
    <w:rsid w:val="00493ED8"/>
    <w:rsid w:val="00494609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31044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102D8"/>
    <w:rsid w:val="00847F33"/>
    <w:rsid w:val="008A3BB1"/>
    <w:rsid w:val="008B786E"/>
    <w:rsid w:val="008C15CE"/>
    <w:rsid w:val="008E400D"/>
    <w:rsid w:val="008E49C2"/>
    <w:rsid w:val="008E6640"/>
    <w:rsid w:val="00902833"/>
    <w:rsid w:val="00923B4A"/>
    <w:rsid w:val="00944197"/>
    <w:rsid w:val="0095054F"/>
    <w:rsid w:val="00957294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E2E61"/>
    <w:rsid w:val="00AF2E89"/>
    <w:rsid w:val="00B236BD"/>
    <w:rsid w:val="00B45BB3"/>
    <w:rsid w:val="00B57125"/>
    <w:rsid w:val="00B67535"/>
    <w:rsid w:val="00B749DB"/>
    <w:rsid w:val="00B845E4"/>
    <w:rsid w:val="00BB18B7"/>
    <w:rsid w:val="00BD470B"/>
    <w:rsid w:val="00BD5296"/>
    <w:rsid w:val="00BE35DC"/>
    <w:rsid w:val="00BE6482"/>
    <w:rsid w:val="00BF3E2E"/>
    <w:rsid w:val="00BF5A2A"/>
    <w:rsid w:val="00C345DC"/>
    <w:rsid w:val="00C441A9"/>
    <w:rsid w:val="00C476C9"/>
    <w:rsid w:val="00C5609C"/>
    <w:rsid w:val="00C7337A"/>
    <w:rsid w:val="00C84A93"/>
    <w:rsid w:val="00C94ACA"/>
    <w:rsid w:val="00CB75A8"/>
    <w:rsid w:val="00CC0AD8"/>
    <w:rsid w:val="00CD0A93"/>
    <w:rsid w:val="00D15DF6"/>
    <w:rsid w:val="00D1655C"/>
    <w:rsid w:val="00DA3815"/>
    <w:rsid w:val="00DD439D"/>
    <w:rsid w:val="00E01743"/>
    <w:rsid w:val="00E23C1B"/>
    <w:rsid w:val="00E53924"/>
    <w:rsid w:val="00EB0D7B"/>
    <w:rsid w:val="00ED38E1"/>
    <w:rsid w:val="00F11F8C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40658\Desktop\Book1%20(Autosaved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Cyclotron Vacuum</a:t>
            </a:r>
            <a:r>
              <a:rPr lang="en-US" sz="1600" baseline="0"/>
              <a:t> Level 2015 Vs 2016 </a:t>
            </a:r>
            <a:r>
              <a:rPr lang="en-US" sz="1400" baseline="0"/>
              <a:t>(The lowest the better)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7832495514332"/>
          <c:y val="0.29662458859309254"/>
          <c:w val="0.87850111956344445"/>
          <c:h val="0.4953984085322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'[Book1 (Autosaved).xlsx]Sheet1'!$C$96</c:f>
              <c:strCache>
                <c:ptCount val="1"/>
                <c:pt idx="0">
                  <c:v>Old vacuum level (Torr)_2015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'[Book1 (Autosaved).xlsx]Sheet1'!$B$97:$B$108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'[Book1 (Autosaved).xlsx]Sheet1'!$C$97:$C$108</c:f>
              <c:numCache>
                <c:formatCode>0.00E+00</c:formatCode>
                <c:ptCount val="12"/>
                <c:pt idx="0">
                  <c:v>9.5E-4</c:v>
                </c:pt>
                <c:pt idx="1">
                  <c:v>8.9999999999999998E-4</c:v>
                </c:pt>
                <c:pt idx="2">
                  <c:v>9.5E-4</c:v>
                </c:pt>
                <c:pt idx="3">
                  <c:v>6.9999999999999999E-4</c:v>
                </c:pt>
                <c:pt idx="4">
                  <c:v>1.2E-4</c:v>
                </c:pt>
                <c:pt idx="5">
                  <c:v>5.0000000000000001E-4</c:v>
                </c:pt>
                <c:pt idx="6">
                  <c:v>2.9999999999999997E-4</c:v>
                </c:pt>
                <c:pt idx="7">
                  <c:v>8.9999999999999998E-4</c:v>
                </c:pt>
                <c:pt idx="8">
                  <c:v>1E-4</c:v>
                </c:pt>
                <c:pt idx="9">
                  <c:v>6.9999999999999999E-4</c:v>
                </c:pt>
                <c:pt idx="10">
                  <c:v>6.9999999999999999E-4</c:v>
                </c:pt>
                <c:pt idx="11">
                  <c:v>2.0000000000000001E-4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4C-4030-B8A9-97FA61F70FD3}"/>
            </c:ext>
          </c:extLst>
        </c:ser>
        <c:ser>
          <c:idx val="1"/>
          <c:order val="1"/>
          <c:tx>
            <c:strRef>
              <c:f>'[Book1 (Autosaved).xlsx]Sheet1'!$D$96</c:f>
              <c:strCache>
                <c:ptCount val="1"/>
                <c:pt idx="0">
                  <c:v>New vacuum level (Torr)_2016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'[Book1 (Autosaved).xlsx]Sheet1'!$B$97:$B$108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'[Book1 (Autosaved).xlsx]Sheet1'!$D$97:$D$108</c:f>
              <c:numCache>
                <c:formatCode>0.00E+00</c:formatCode>
                <c:ptCount val="12"/>
                <c:pt idx="0">
                  <c:v>1.5E-5</c:v>
                </c:pt>
                <c:pt idx="1">
                  <c:v>1.2E-5</c:v>
                </c:pt>
                <c:pt idx="2">
                  <c:v>1.2E-5</c:v>
                </c:pt>
                <c:pt idx="3">
                  <c:v>1.8E-5</c:v>
                </c:pt>
                <c:pt idx="4">
                  <c:v>1.2E-5</c:v>
                </c:pt>
                <c:pt idx="5">
                  <c:v>1.5E-5</c:v>
                </c:pt>
                <c:pt idx="6">
                  <c:v>1.2999999999999999E-5</c:v>
                </c:pt>
                <c:pt idx="7">
                  <c:v>1.0000000000000001E-5</c:v>
                </c:pt>
                <c:pt idx="8">
                  <c:v>1.0000000000000001E-5</c:v>
                </c:pt>
                <c:pt idx="9">
                  <c:v>1.0000000000000001E-5</c:v>
                </c:pt>
                <c:pt idx="10">
                  <c:v>1.0000000000000001E-5</c:v>
                </c:pt>
                <c:pt idx="11">
                  <c:v>1.5E-5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4C-4030-B8A9-97FA61F70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469360"/>
        <c:axId val="273469920"/>
      </c:barChart>
      <c:catAx>
        <c:axId val="273469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73469920"/>
        <c:crosses val="autoZero"/>
        <c:auto val="1"/>
        <c:lblAlgn val="ctr"/>
        <c:lblOffset val="100"/>
        <c:noMultiLvlLbl val="0"/>
      </c:catAx>
      <c:valAx>
        <c:axId val="273469920"/>
        <c:scaling>
          <c:orientation val="minMax"/>
          <c:max val="9.5000000000000021E-4"/>
          <c:min val="0"/>
        </c:scaling>
        <c:delete val="0"/>
        <c:axPos val="l"/>
        <c:majorGridlines/>
        <c:numFmt formatCode="0.00E+00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7346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9992437386004718E-2"/>
          <c:y val="0.88850503062117236"/>
          <c:w val="0.83767990865548581"/>
          <c:h val="8.3717191601049873E-2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33893"/>
    <w:rsid w:val="001A7186"/>
    <w:rsid w:val="003B298D"/>
    <w:rsid w:val="00426A00"/>
    <w:rsid w:val="004C412D"/>
    <w:rsid w:val="004D6A5F"/>
    <w:rsid w:val="004D6BE4"/>
    <w:rsid w:val="006D67F3"/>
    <w:rsid w:val="007E62B5"/>
    <w:rsid w:val="009C63E1"/>
    <w:rsid w:val="009D7071"/>
    <w:rsid w:val="00AF04DC"/>
    <w:rsid w:val="00B254DF"/>
    <w:rsid w:val="00B4780F"/>
    <w:rsid w:val="00BC5EC8"/>
    <w:rsid w:val="00C253A4"/>
    <w:rsid w:val="00C465D8"/>
    <w:rsid w:val="00C55960"/>
    <w:rsid w:val="00CC3F6B"/>
    <w:rsid w:val="00CC6684"/>
    <w:rsid w:val="00DA76C4"/>
    <w:rsid w:val="00E17380"/>
    <w:rsid w:val="00EE58D8"/>
    <w:rsid w:val="00F51EC6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F0B9-62A2-49EA-BB36-C2F38CF0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ALRUMAYAN, FAISAL MOHAMED</cp:lastModifiedBy>
  <cp:revision>4</cp:revision>
  <cp:lastPrinted>2017-12-31T20:40:00Z</cp:lastPrinted>
  <dcterms:created xsi:type="dcterms:W3CDTF">2018-03-08T10:40:00Z</dcterms:created>
  <dcterms:modified xsi:type="dcterms:W3CDTF">2018-03-08T10:53:00Z</dcterms:modified>
</cp:coreProperties>
</file>