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2E0F6F2" w:rsidR="00B749DB" w:rsidRPr="00760698" w:rsidRDefault="00333756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760698"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0B169A91" w14:textId="1B4C4F6E" w:rsidR="00B749DB" w:rsidRPr="00333756" w:rsidRDefault="00333756" w:rsidP="00C64130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333756">
              <w:rPr>
                <w:rFonts w:cs="Arial"/>
                <w:bCs/>
                <w:color w:val="000000" w:themeColor="text1"/>
                <w:sz w:val="20"/>
                <w:szCs w:val="20"/>
              </w:rPr>
              <w:t>Enhance patient experience</w:t>
            </w:r>
            <w:r w:rsidR="00760698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in A1 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2C4DD70" w:rsidR="00B749DB" w:rsidRPr="00CD0A93" w:rsidRDefault="004573F2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288E9804" w:rsidR="00B749DB" w:rsidRPr="00321654" w:rsidRDefault="00B4609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tc>
          <w:tcPr>
            <w:tcW w:w="5261" w:type="dxa"/>
            <w:gridSpan w:val="2"/>
          </w:tcPr>
          <w:p w14:paraId="69E33626" w14:textId="5056D55C" w:rsidR="00B749DB" w:rsidRPr="00321654" w:rsidRDefault="00760698" w:rsidP="00760698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Medical / Surgical Nursing-A1and L&amp;D Units</w:t>
            </w:r>
          </w:p>
        </w:tc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01F31EB1" w:rsidR="00B749DB" w:rsidRPr="00321654" w:rsidRDefault="00B4609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15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20E54900" w:rsidR="00B749DB" w:rsidRPr="00321654" w:rsidRDefault="00333756" w:rsidP="0088503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01-15-2017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31FA7E4C" w:rsidR="00B749DB" w:rsidRPr="00321654" w:rsidRDefault="00333756" w:rsidP="0088503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1C8B6BBF" w14:textId="522DE676" w:rsidR="00B4609D" w:rsidRDefault="00B749DB" w:rsidP="00885037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45EF2372" w14:textId="77777777" w:rsidR="00CE67D8" w:rsidRPr="00885037" w:rsidRDefault="00CE67D8" w:rsidP="00885037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771E5366" w14:textId="1E14ACAA" w:rsidR="00CE67D8" w:rsidRDefault="00CE67D8" w:rsidP="00C64130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Enhancing patient experience is a cornerstone for King Faisal staff and especially A1 nursing staff.</w:t>
                </w:r>
              </w:p>
              <w:p w14:paraId="3E1A9C08" w14:textId="72B372BB" w:rsidR="00CE67D8" w:rsidRDefault="00CE67D8" w:rsidP="005076B1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Based on this this project was initiated in order to meet HCAHPS b</w:t>
                </w:r>
                <w:r w:rsidR="00AD2BE6">
                  <w:rPr>
                    <w:rFonts w:cs="Arial"/>
                    <w:color w:val="000000" w:themeColor="text1"/>
                    <w:sz w:val="20"/>
                    <w:szCs w:val="20"/>
                  </w:rPr>
                  <w:t>enchmark results in relation to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“</w:t>
                </w:r>
                <w:r w:rsidR="005076B1">
                  <w:rPr>
                    <w:rFonts w:cs="Arial"/>
                    <w:color w:val="000000" w:themeColor="text1"/>
                    <w:sz w:val="20"/>
                    <w:szCs w:val="20"/>
                  </w:rPr>
                  <w:t>Discharge Information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”</w:t>
                </w:r>
              </w:p>
              <w:p w14:paraId="2D6AA6D7" w14:textId="2DF57F1F" w:rsidR="00B749DB" w:rsidRPr="00B67535" w:rsidRDefault="003F60C0" w:rsidP="00CE67D8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30811886" w:rsidR="00B749DB" w:rsidRDefault="00B749DB" w:rsidP="00B4609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58419D0" w14:textId="416C8076" w:rsidR="00AD2BE6" w:rsidRDefault="00CE67D8" w:rsidP="005076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The aim of this project is to </w:t>
            </w:r>
            <w:r w:rsidR="00AD2BE6">
              <w:rPr>
                <w:rFonts w:cs="Arial"/>
                <w:color w:val="000000" w:themeColor="text1"/>
                <w:sz w:val="20"/>
              </w:rPr>
              <w:t>increase</w:t>
            </w:r>
            <w:r w:rsidR="005076B1">
              <w:rPr>
                <w:rFonts w:cs="Arial"/>
                <w:color w:val="000000" w:themeColor="text1"/>
                <w:sz w:val="20"/>
              </w:rPr>
              <w:t xml:space="preserve"> the</w:t>
            </w:r>
            <w:r w:rsidR="00C64130">
              <w:rPr>
                <w:rFonts w:cs="Arial"/>
                <w:color w:val="000000" w:themeColor="text1"/>
                <w:sz w:val="20"/>
              </w:rPr>
              <w:t xml:space="preserve"> A1 </w:t>
            </w:r>
            <w:r w:rsidR="00AD2BE6">
              <w:rPr>
                <w:rFonts w:cs="Arial"/>
                <w:color w:val="000000" w:themeColor="text1"/>
                <w:sz w:val="20"/>
              </w:rPr>
              <w:t xml:space="preserve">patient </w:t>
            </w:r>
            <w:r w:rsidR="00C64130">
              <w:rPr>
                <w:rFonts w:cs="Arial"/>
                <w:color w:val="000000" w:themeColor="text1"/>
                <w:sz w:val="20"/>
              </w:rPr>
              <w:t xml:space="preserve">satisfaction </w:t>
            </w:r>
            <w:r w:rsidR="00AD2BE6">
              <w:rPr>
                <w:rFonts w:cs="Arial"/>
                <w:color w:val="000000" w:themeColor="text1"/>
                <w:sz w:val="20"/>
              </w:rPr>
              <w:t xml:space="preserve">in relation to </w:t>
            </w:r>
            <w:r w:rsidR="005076B1">
              <w:rPr>
                <w:rFonts w:cs="Arial"/>
                <w:color w:val="000000" w:themeColor="text1"/>
                <w:sz w:val="20"/>
                <w:szCs w:val="20"/>
              </w:rPr>
              <w:t>“Discharge Information”</w:t>
            </w:r>
            <w:r w:rsidR="005076B1">
              <w:rPr>
                <w:rFonts w:cs="Arial"/>
                <w:color w:val="000000" w:themeColor="text1"/>
                <w:sz w:val="20"/>
                <w:szCs w:val="20"/>
              </w:rPr>
              <w:t xml:space="preserve"> by at least 10%</w:t>
            </w:r>
            <w:r w:rsidR="00AD2BE6">
              <w:rPr>
                <w:rFonts w:cs="Arial"/>
                <w:color w:val="000000" w:themeColor="text1"/>
                <w:sz w:val="20"/>
                <w:szCs w:val="20"/>
              </w:rPr>
              <w:t xml:space="preserve"> from </w:t>
            </w:r>
            <w:r w:rsidR="005076B1">
              <w:rPr>
                <w:rFonts w:cs="Arial"/>
                <w:color w:val="000000" w:themeColor="text1"/>
                <w:sz w:val="20"/>
                <w:szCs w:val="20"/>
              </w:rPr>
              <w:t>the baseline (</w:t>
            </w:r>
            <w:r w:rsidR="00AD2BE6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  <w:r w:rsidR="005076B1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="00AD2BE6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  <w:r w:rsidR="005076B1">
              <w:rPr>
                <w:rFonts w:cs="Arial"/>
                <w:color w:val="000000" w:themeColor="text1"/>
                <w:sz w:val="20"/>
                <w:szCs w:val="20"/>
              </w:rPr>
              <w:t xml:space="preserve">) </w:t>
            </w:r>
            <w:r w:rsidR="00AD2BE6">
              <w:rPr>
                <w:rFonts w:cs="Arial"/>
                <w:color w:val="000000" w:themeColor="text1"/>
                <w:sz w:val="20"/>
                <w:szCs w:val="20"/>
              </w:rPr>
              <w:t>by the end of 2017</w:t>
            </w:r>
            <w:r w:rsidR="005076B1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AD2BE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EF0C16A" w14:textId="6CD3D44A" w:rsidR="00B749DB" w:rsidRPr="004910B3" w:rsidRDefault="00B749DB" w:rsidP="00AD2BE6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3F60C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3F60C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519C86D6" w:rsidR="00B749DB" w:rsidRPr="0037000B" w:rsidRDefault="003F60C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9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3F60C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413845AA" w:rsidR="00B749DB" w:rsidRPr="0037000B" w:rsidRDefault="003F60C0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9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3F60C0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25DBFA44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  <w:r w:rsidR="00B4609D">
              <w:rPr>
                <w:rFonts w:cs="Arial"/>
                <w:i/>
                <w:color w:val="7F7F7F" w:themeColor="text2"/>
                <w:sz w:val="16"/>
              </w:rPr>
              <w:t xml:space="preserve"> </w:t>
            </w:r>
          </w:p>
          <w:p w14:paraId="031CBDE7" w14:textId="77777777" w:rsidR="00B4609D" w:rsidRDefault="00B4609D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Cs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63981238" w:rsidR="00B749DB" w:rsidRPr="0037000B" w:rsidRDefault="00760698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Cs/>
                    <w:color w:val="000000" w:themeColor="text1"/>
                    <w:sz w:val="20"/>
                  </w:rPr>
                  <w:t>Patient Centred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197447C8" w14:textId="6EB33858" w:rsidR="00B749DB" w:rsidRPr="005076B1" w:rsidRDefault="00AD2BE6" w:rsidP="005076B1">
                  <w:pPr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Patient Satisfaction in relation to </w:t>
                  </w:r>
                  <w:r w:rsidR="005076B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“Discharge Information”</w:t>
                  </w:r>
                </w:p>
              </w:tc>
              <w:tc>
                <w:tcPr>
                  <w:tcW w:w="5143" w:type="dxa"/>
                </w:tcPr>
                <w:p w14:paraId="3B671088" w14:textId="69F3C076" w:rsidR="00B749DB" w:rsidRDefault="00AD2BE6" w:rsidP="005076B1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At least </w:t>
                  </w:r>
                  <w:r w:rsidR="005076B1">
                    <w:rPr>
                      <w:rFonts w:cs="Arial"/>
                      <w:color w:val="000000" w:themeColor="text1"/>
                      <w:sz w:val="20"/>
                    </w:rPr>
                    <w:t>51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>%</w:t>
                  </w:r>
                </w:p>
                <w:p w14:paraId="1CF29601" w14:textId="3C7A504B" w:rsidR="00AD2BE6" w:rsidRPr="006C7904" w:rsidRDefault="00AD2BE6" w:rsidP="006C7904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7EEBDC3E" w14:textId="77777777" w:rsidR="00B749DB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p w14:paraId="2E9426D6" w14:textId="77777777" w:rsidR="00D9670B" w:rsidRDefault="00D9670B" w:rsidP="00E212B0">
            <w:pPr>
              <w:rPr>
                <w:rFonts w:cs="Arial"/>
                <w:color w:val="000000" w:themeColor="text1"/>
                <w:sz w:val="20"/>
              </w:rPr>
            </w:pPr>
          </w:p>
          <w:p w14:paraId="71BEFA69" w14:textId="77777777" w:rsidR="00D9670B" w:rsidRDefault="00D9670B" w:rsidP="00E212B0">
            <w:pPr>
              <w:rPr>
                <w:rFonts w:cs="Arial"/>
                <w:color w:val="000000" w:themeColor="text1"/>
                <w:sz w:val="20"/>
              </w:rPr>
            </w:pPr>
          </w:p>
          <w:p w14:paraId="17D89B86" w14:textId="04A2B9CF" w:rsidR="00D9670B" w:rsidRPr="001942D3" w:rsidRDefault="00D9670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1C5A11EE" w14:textId="6C856E78" w:rsidR="006C7904" w:rsidRDefault="00AD2BE6" w:rsidP="00885037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AD2BE6">
              <w:rPr>
                <w:rFonts w:cs="Arial"/>
                <w:b/>
                <w:color w:val="AA1D37" w:themeColor="accent4"/>
                <w:sz w:val="20"/>
              </w:rPr>
              <w:t>Interventions:</w:t>
            </w: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</w:p>
          <w:p w14:paraId="55EBDE04" w14:textId="54B112FF" w:rsidR="005076B1" w:rsidRDefault="005076B1" w:rsidP="00885037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2832AEC8" w14:textId="1DE077E1" w:rsidR="005076B1" w:rsidRDefault="005076B1" w:rsidP="00D9670B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D9670B">
              <w:rPr>
                <w:rFonts w:cs="Arial"/>
                <w:color w:val="000000" w:themeColor="text1"/>
                <w:sz w:val="20"/>
                <w:szCs w:val="20"/>
              </w:rPr>
              <w:t>Development of educational material and collaborate with OB Gyne Clinic to distribute it during the antenatal classes</w:t>
            </w:r>
            <w:r w:rsidR="00D9670B" w:rsidRPr="00D9670B">
              <w:rPr>
                <w:rFonts w:cs="Arial"/>
                <w:color w:val="000000" w:themeColor="text1"/>
                <w:sz w:val="20"/>
                <w:szCs w:val="20"/>
              </w:rPr>
              <w:t>, intrapartum (L&amp;D) and postnatal (A1)</w:t>
            </w:r>
            <w:r w:rsidR="00D9670B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548982F7" w14:textId="38EE0271" w:rsidR="00D9670B" w:rsidRDefault="00D9670B" w:rsidP="00D9670B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Development of discharge checklist in collaboration with physicians.</w:t>
            </w:r>
          </w:p>
          <w:p w14:paraId="46B26AED" w14:textId="4763A983" w:rsidR="00D9670B" w:rsidRPr="00D9670B" w:rsidRDefault="00D9670B" w:rsidP="00D9670B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Continuous monitoring of physician and staff nurses to comply with the provision of discharge information to patient.</w:t>
            </w:r>
          </w:p>
          <w:p w14:paraId="52938A2A" w14:textId="77777777" w:rsidR="00D9670B" w:rsidRPr="005076B1" w:rsidRDefault="00D9670B" w:rsidP="005076B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B72D83D" w14:textId="77777777" w:rsidR="00C64130" w:rsidRDefault="00C64130" w:rsidP="00885037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319E8F7D" w14:textId="77777777" w:rsidR="00C64130" w:rsidRDefault="00C64130" w:rsidP="00885037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586077B8" w14:textId="77777777" w:rsidR="00C64130" w:rsidRDefault="00C64130" w:rsidP="00885037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7360A731" w14:textId="6ADB4A72" w:rsidR="00C64130" w:rsidRDefault="00C64130" w:rsidP="00885037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7EC3B0BB" w14:textId="77777777" w:rsidR="00C64130" w:rsidRDefault="00C64130" w:rsidP="00885037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610507F0" w14:textId="77777777" w:rsidR="00C64130" w:rsidRDefault="00C64130" w:rsidP="00885037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5BF23068" w14:textId="77777777" w:rsidR="00C64130" w:rsidRDefault="00C64130" w:rsidP="00885037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7B5F8A5F" w14:textId="77777777" w:rsidR="00C64130" w:rsidRDefault="00C64130" w:rsidP="00885037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5900E502" w14:textId="7537DE7E" w:rsidR="00C64130" w:rsidRPr="00885037" w:rsidRDefault="00C64130" w:rsidP="00885037">
            <w:pPr>
              <w:rPr>
                <w:rFonts w:cs="Arial"/>
                <w:sz w:val="20"/>
              </w:rPr>
            </w:pPr>
          </w:p>
        </w:tc>
      </w:tr>
      <w:tr w:rsidR="00B749DB" w:rsidRPr="00CD0A93" w14:paraId="4C64EF4B" w14:textId="77777777" w:rsidTr="005076B1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4B406D94" w14:textId="77777777" w:rsidR="005076B1" w:rsidRDefault="00B749DB" w:rsidP="005076B1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2975040" w14:textId="77777777" w:rsidR="005076B1" w:rsidRDefault="005076B1" w:rsidP="005076B1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32C36F0" w14:textId="77777777" w:rsidR="005076B1" w:rsidRDefault="005076B1" w:rsidP="005076B1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B5D45FA" w14:textId="1C4A8A97" w:rsidR="005076B1" w:rsidRDefault="005076B1" w:rsidP="005076B1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D2BA072" w14:textId="14390ABA" w:rsidR="00C64130" w:rsidRDefault="005076B1" w:rsidP="005076B1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3CDC41" wp14:editId="7CACFDA3">
                  <wp:extent cx="6645910" cy="2781300"/>
                  <wp:effectExtent l="0" t="0" r="254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72EDC0FD" w14:textId="28E233B8" w:rsidR="00C64130" w:rsidRDefault="00C64130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6678300" w14:textId="6C1960A7" w:rsidR="00475F53" w:rsidRDefault="00475F53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49DD5B7" w14:textId="77777777" w:rsidR="00475F53" w:rsidRPr="00DD439D" w:rsidRDefault="00475F53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D929B85" w14:textId="4AAFCECA" w:rsidR="00B749DB" w:rsidRPr="00475F53" w:rsidRDefault="00B749DB" w:rsidP="00475F5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573CF001" w14:textId="79C3F8AA" w:rsidR="00B749DB" w:rsidRDefault="00B749DB" w:rsidP="00B749DB"/>
    <w:p w14:paraId="6E277855" w14:textId="7B404857" w:rsidR="00D9670B" w:rsidRDefault="00D9670B" w:rsidP="00B749DB"/>
    <w:p w14:paraId="6C242E5C" w14:textId="431369E5" w:rsidR="00D9670B" w:rsidRDefault="00D9670B" w:rsidP="00B749DB"/>
    <w:p w14:paraId="5AD25460" w14:textId="51FBCD14" w:rsidR="00D9670B" w:rsidRDefault="00D9670B" w:rsidP="00B749DB"/>
    <w:p w14:paraId="43F748D0" w14:textId="77777777" w:rsidR="00D9670B" w:rsidRDefault="00D9670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3592A3C0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652B78FB" w14:textId="52C39E09" w:rsidR="00475F53" w:rsidRPr="00CD0A93" w:rsidRDefault="00475F53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47592713" w:rsidR="00BF5A2A" w:rsidRPr="00D9670B" w:rsidRDefault="00D9670B" w:rsidP="00D9670B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D9670B">
                  <w:rPr>
                    <w:rFonts w:cs="Arial"/>
                    <w:color w:val="000000" w:themeColor="text1"/>
                    <w:sz w:val="20"/>
                    <w:szCs w:val="20"/>
                  </w:rPr>
                  <w:t>Sara Al-Dossari, Acting Head Nurse, A1/L&amp;D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DB17DA" w14:textId="18487627" w:rsidR="00D9670B" w:rsidRDefault="00D9670B" w:rsidP="00D9670B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Dr. Wissam Kurdi, Section Head, Maternal Fetal Medicine</w:t>
                </w:r>
              </w:p>
              <w:p w14:paraId="108B6545" w14:textId="2201B359" w:rsidR="00885037" w:rsidRDefault="00D9670B" w:rsidP="00885037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D9670B">
                  <w:rPr>
                    <w:rFonts w:cs="Arial"/>
                    <w:color w:val="000000" w:themeColor="text1"/>
                    <w:sz w:val="20"/>
                    <w:szCs w:val="20"/>
                  </w:rPr>
                  <w:t>Fra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ncesca Fernandez, Senior Clinic</w:t>
                </w:r>
                <w:r w:rsidRPr="00D9670B">
                  <w:rPr>
                    <w:rFonts w:cs="Arial"/>
                    <w:color w:val="000000" w:themeColor="text1"/>
                    <w:sz w:val="20"/>
                    <w:szCs w:val="20"/>
                  </w:rPr>
                  <w:t>a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l</w:t>
                </w:r>
                <w:r w:rsidRPr="00D9670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Specialist, </w:t>
                </w:r>
                <w:r w:rsidRPr="00D9670B">
                  <w:rPr>
                    <w:rFonts w:cs="Arial"/>
                    <w:color w:val="000000" w:themeColor="text1"/>
                    <w:sz w:val="20"/>
                    <w:szCs w:val="20"/>
                  </w:rPr>
                  <w:t>A1/L&amp;D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</w:p>
              <w:p w14:paraId="364A17B4" w14:textId="02517143" w:rsidR="00D9670B" w:rsidRDefault="00D9670B" w:rsidP="00885037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Khouloud AlShammari, Program Director, Women &amp; Infant Nursing</w:t>
                </w:r>
              </w:p>
              <w:p w14:paraId="1B76869E" w14:textId="39CB63B7" w:rsidR="00D9670B" w:rsidRDefault="00D9670B" w:rsidP="00885037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Rehanan Mohammadi, Clinical Instructor, </w:t>
                </w:r>
                <w:r>
                  <w:rPr>
                    <w:rFonts w:cs="Arial"/>
                    <w:sz w:val="20"/>
                    <w:szCs w:val="20"/>
                  </w:rPr>
                  <w:t>A1/L&amp;D</w:t>
                </w:r>
                <w:r>
                  <w:rPr>
                    <w:rFonts w:cs="Arial"/>
                    <w:sz w:val="20"/>
                    <w:szCs w:val="20"/>
                  </w:rPr>
                  <w:t>.</w:t>
                </w:r>
              </w:p>
              <w:p w14:paraId="4ABD39DF" w14:textId="6FB0198E" w:rsidR="00D9670B" w:rsidRDefault="00D9670B" w:rsidP="00116A07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Lai</w:t>
                </w:r>
                <w:bookmarkStart w:id="0" w:name="_GoBack"/>
                <w:bookmarkEnd w:id="0"/>
                <w:r>
                  <w:rPr>
                    <w:rFonts w:cs="Arial"/>
                    <w:sz w:val="20"/>
                    <w:szCs w:val="20"/>
                  </w:rPr>
                  <w:t xml:space="preserve">la AlBassiouni, RN, </w:t>
                </w:r>
                <w:r>
                  <w:rPr>
                    <w:rFonts w:cs="Arial"/>
                    <w:sz w:val="20"/>
                    <w:szCs w:val="20"/>
                  </w:rPr>
                  <w:t>A1/L&amp;D</w:t>
                </w:r>
              </w:p>
              <w:p w14:paraId="2167B118" w14:textId="77777777" w:rsidR="00D9670B" w:rsidRPr="00D9670B" w:rsidRDefault="00D9670B" w:rsidP="00885037">
                <w:pPr>
                  <w:rPr>
                    <w:color w:val="000000" w:themeColor="text1"/>
                  </w:rPr>
                </w:pPr>
              </w:p>
              <w:p w14:paraId="46BAA758" w14:textId="48E8C6F4" w:rsidR="00BF5A2A" w:rsidRPr="00D9670B" w:rsidRDefault="00BF5A2A" w:rsidP="00475F53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EDADE" w14:textId="77777777" w:rsidR="003F60C0" w:rsidRDefault="003F60C0" w:rsidP="00DA3815">
      <w:pPr>
        <w:spacing w:line="240" w:lineRule="auto"/>
      </w:pPr>
      <w:r>
        <w:separator/>
      </w:r>
    </w:p>
  </w:endnote>
  <w:endnote w:type="continuationSeparator" w:id="0">
    <w:p w14:paraId="387CC984" w14:textId="77777777" w:rsidR="003F60C0" w:rsidRDefault="003F60C0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DCE9" w14:textId="77777777" w:rsidR="003F60C0" w:rsidRDefault="003F60C0" w:rsidP="00DA3815">
      <w:pPr>
        <w:spacing w:line="240" w:lineRule="auto"/>
      </w:pPr>
      <w:r>
        <w:separator/>
      </w:r>
    </w:p>
  </w:footnote>
  <w:footnote w:type="continuationSeparator" w:id="0">
    <w:p w14:paraId="15E417AF" w14:textId="77777777" w:rsidR="003F60C0" w:rsidRDefault="003F60C0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547"/>
    <w:multiLevelType w:val="hybridMultilevel"/>
    <w:tmpl w:val="2D3A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7212B"/>
    <w:multiLevelType w:val="hybridMultilevel"/>
    <w:tmpl w:val="6060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8"/>
  </w:num>
  <w:num w:numId="5">
    <w:abstractNumId w:val="21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25"/>
  </w:num>
  <w:num w:numId="12">
    <w:abstractNumId w:val="24"/>
  </w:num>
  <w:num w:numId="13">
    <w:abstractNumId w:val="4"/>
  </w:num>
  <w:num w:numId="14">
    <w:abstractNumId w:val="18"/>
  </w:num>
  <w:num w:numId="15">
    <w:abstractNumId w:val="19"/>
  </w:num>
  <w:num w:numId="16">
    <w:abstractNumId w:val="29"/>
  </w:num>
  <w:num w:numId="17">
    <w:abstractNumId w:val="20"/>
  </w:num>
  <w:num w:numId="18">
    <w:abstractNumId w:val="2"/>
  </w:num>
  <w:num w:numId="19">
    <w:abstractNumId w:val="17"/>
  </w:num>
  <w:num w:numId="20">
    <w:abstractNumId w:val="9"/>
  </w:num>
  <w:num w:numId="21">
    <w:abstractNumId w:val="23"/>
  </w:num>
  <w:num w:numId="22">
    <w:abstractNumId w:val="16"/>
  </w:num>
  <w:num w:numId="23">
    <w:abstractNumId w:val="12"/>
  </w:num>
  <w:num w:numId="24">
    <w:abstractNumId w:val="13"/>
  </w:num>
  <w:num w:numId="25">
    <w:abstractNumId w:val="30"/>
  </w:num>
  <w:num w:numId="26">
    <w:abstractNumId w:val="26"/>
  </w:num>
  <w:num w:numId="27">
    <w:abstractNumId w:val="10"/>
  </w:num>
  <w:num w:numId="28">
    <w:abstractNumId w:val="27"/>
  </w:num>
  <w:num w:numId="29">
    <w:abstractNumId w:val="22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0F25"/>
    <w:rsid w:val="00076024"/>
    <w:rsid w:val="0008253B"/>
    <w:rsid w:val="00097EAF"/>
    <w:rsid w:val="000D71CC"/>
    <w:rsid w:val="000E06C4"/>
    <w:rsid w:val="000F31F0"/>
    <w:rsid w:val="00116A07"/>
    <w:rsid w:val="001244EA"/>
    <w:rsid w:val="00125AEE"/>
    <w:rsid w:val="001942D3"/>
    <w:rsid w:val="001C31B9"/>
    <w:rsid w:val="001D1B42"/>
    <w:rsid w:val="001E18CF"/>
    <w:rsid w:val="001E7C56"/>
    <w:rsid w:val="00216217"/>
    <w:rsid w:val="0023755E"/>
    <w:rsid w:val="00274E65"/>
    <w:rsid w:val="00294548"/>
    <w:rsid w:val="00297D61"/>
    <w:rsid w:val="00303D94"/>
    <w:rsid w:val="00321654"/>
    <w:rsid w:val="00327276"/>
    <w:rsid w:val="00333756"/>
    <w:rsid w:val="0035648C"/>
    <w:rsid w:val="00362771"/>
    <w:rsid w:val="00363BB4"/>
    <w:rsid w:val="0037000B"/>
    <w:rsid w:val="00372E87"/>
    <w:rsid w:val="00374354"/>
    <w:rsid w:val="00377B5B"/>
    <w:rsid w:val="003D4C9D"/>
    <w:rsid w:val="003F60C0"/>
    <w:rsid w:val="004354BE"/>
    <w:rsid w:val="00440AFE"/>
    <w:rsid w:val="004573F2"/>
    <w:rsid w:val="004714F0"/>
    <w:rsid w:val="00475F53"/>
    <w:rsid w:val="004910B3"/>
    <w:rsid w:val="00493ED8"/>
    <w:rsid w:val="004D2577"/>
    <w:rsid w:val="00504D15"/>
    <w:rsid w:val="005076B1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C7904"/>
    <w:rsid w:val="006D63B1"/>
    <w:rsid w:val="007027EB"/>
    <w:rsid w:val="00760698"/>
    <w:rsid w:val="00760950"/>
    <w:rsid w:val="0076391E"/>
    <w:rsid w:val="007D68EF"/>
    <w:rsid w:val="0080056A"/>
    <w:rsid w:val="00847F33"/>
    <w:rsid w:val="00885037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D2BE6"/>
    <w:rsid w:val="00AE2E61"/>
    <w:rsid w:val="00AF2E89"/>
    <w:rsid w:val="00B236BD"/>
    <w:rsid w:val="00B4609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64130"/>
    <w:rsid w:val="00C7337A"/>
    <w:rsid w:val="00C84A93"/>
    <w:rsid w:val="00C94ACA"/>
    <w:rsid w:val="00CB75A8"/>
    <w:rsid w:val="00CC0AD8"/>
    <w:rsid w:val="00CD0A93"/>
    <w:rsid w:val="00CE67D8"/>
    <w:rsid w:val="00D1655C"/>
    <w:rsid w:val="00D9670B"/>
    <w:rsid w:val="00DA381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chemeClr val="tx1"/>
                </a:solidFill>
                <a:effectLst/>
              </a:rPr>
              <a:t>A1 HCAHPS Unit Score on </a:t>
            </a:r>
            <a:r>
              <a:rPr lang="en-US" sz="1400" b="1" i="0" baseline="0">
                <a:solidFill>
                  <a:schemeClr val="tx1"/>
                </a:solidFill>
                <a:effectLst/>
              </a:rPr>
              <a:t> "Discharge Information"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chemeClr val="tx1"/>
                </a:solidFill>
              </a:defRPr>
            </a:pPr>
            <a:r>
              <a:rPr lang="en-US" sz="1400" b="1" i="0" baseline="0">
                <a:solidFill>
                  <a:schemeClr val="tx1"/>
                </a:solidFill>
                <a:effectLst/>
              </a:rPr>
              <a:t>2nd Quarter 2015 - 4th Quarter 2017</a:t>
            </a:r>
            <a:endParaRPr lang="en-US" sz="1400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'HCAHPS '!$A$3</c:f>
              <c:strCache>
                <c:ptCount val="1"/>
                <c:pt idx="0">
                  <c:v>A1 Inpatients HCAHPS 
Patient Satisfaction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'HCAHPS '!$B$3:$L$3</c:f>
              <c:strCache>
                <c:ptCount val="11"/>
                <c:pt idx="0">
                  <c:v>2Q15</c:v>
                </c:pt>
                <c:pt idx="1">
                  <c:v>3Q15</c:v>
                </c:pt>
                <c:pt idx="2">
                  <c:v>4Q15</c:v>
                </c:pt>
                <c:pt idx="3">
                  <c:v>1Q16</c:v>
                </c:pt>
                <c:pt idx="4">
                  <c:v>2Q16</c:v>
                </c:pt>
                <c:pt idx="5">
                  <c:v>3Q16</c:v>
                </c:pt>
                <c:pt idx="6">
                  <c:v>4Q16</c:v>
                </c:pt>
                <c:pt idx="7">
                  <c:v>1Q17</c:v>
                </c:pt>
                <c:pt idx="8">
                  <c:v>2Q17</c:v>
                </c:pt>
                <c:pt idx="9">
                  <c:v>3Q17</c:v>
                </c:pt>
                <c:pt idx="10">
                  <c:v>4Q17</c:v>
                </c:pt>
              </c:strCache>
            </c:strRef>
          </c:cat>
          <c:val>
            <c:numRef>
              <c:f>'HCAHPS '!$B$8:$L$8</c:f>
              <c:numCache>
                <c:formatCode>0%</c:formatCode>
                <c:ptCount val="11"/>
                <c:pt idx="0">
                  <c:v>0.48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0.42</c:v>
                </c:pt>
                <c:pt idx="4">
                  <c:v>0.44</c:v>
                </c:pt>
                <c:pt idx="5">
                  <c:v>0.4</c:v>
                </c:pt>
                <c:pt idx="6">
                  <c:v>0.41</c:v>
                </c:pt>
                <c:pt idx="7">
                  <c:v>0.18</c:v>
                </c:pt>
                <c:pt idx="8">
                  <c:v>0.54</c:v>
                </c:pt>
                <c:pt idx="9">
                  <c:v>0.46</c:v>
                </c:pt>
                <c:pt idx="10">
                  <c:v>0.51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0F-4FBC-AD1E-E747EB70DEBC}"/>
            </c:ext>
          </c:extLst>
        </c:ser>
        <c:ser>
          <c:idx val="2"/>
          <c:order val="2"/>
          <c:tx>
            <c:strRef>
              <c:f>'HCAHPS '!$A$20</c:f>
              <c:strCache>
                <c:ptCount val="1"/>
                <c:pt idx="0">
                  <c:v>US National Average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'HCAHPS '!$B$3:$L$3</c:f>
              <c:strCache>
                <c:ptCount val="11"/>
                <c:pt idx="0">
                  <c:v>2Q15</c:v>
                </c:pt>
                <c:pt idx="1">
                  <c:v>3Q15</c:v>
                </c:pt>
                <c:pt idx="2">
                  <c:v>4Q15</c:v>
                </c:pt>
                <c:pt idx="3">
                  <c:v>1Q16</c:v>
                </c:pt>
                <c:pt idx="4">
                  <c:v>2Q16</c:v>
                </c:pt>
                <c:pt idx="5">
                  <c:v>3Q16</c:v>
                </c:pt>
                <c:pt idx="6">
                  <c:v>4Q16</c:v>
                </c:pt>
                <c:pt idx="7">
                  <c:v>1Q17</c:v>
                </c:pt>
                <c:pt idx="8">
                  <c:v>2Q17</c:v>
                </c:pt>
                <c:pt idx="9">
                  <c:v>3Q17</c:v>
                </c:pt>
                <c:pt idx="10">
                  <c:v>4Q17</c:v>
                </c:pt>
              </c:strCache>
            </c:strRef>
          </c:cat>
          <c:val>
            <c:numRef>
              <c:f>'HCAHPS '!$B$26:$L$26</c:f>
              <c:numCache>
                <c:formatCode>0%</c:formatCode>
                <c:ptCount val="11"/>
                <c:pt idx="0">
                  <c:v>0.85</c:v>
                </c:pt>
                <c:pt idx="1">
                  <c:v>0.85</c:v>
                </c:pt>
                <c:pt idx="2">
                  <c:v>0.85</c:v>
                </c:pt>
                <c:pt idx="3">
                  <c:v>0.85</c:v>
                </c:pt>
                <c:pt idx="4">
                  <c:v>0.86</c:v>
                </c:pt>
                <c:pt idx="5">
                  <c:v>0.86</c:v>
                </c:pt>
                <c:pt idx="6">
                  <c:v>0.86</c:v>
                </c:pt>
                <c:pt idx="7">
                  <c:v>0.86</c:v>
                </c:pt>
                <c:pt idx="8">
                  <c:v>0.86</c:v>
                </c:pt>
                <c:pt idx="9">
                  <c:v>0.86</c:v>
                </c:pt>
                <c:pt idx="10">
                  <c:v>0.86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0F-4FBC-AD1E-E747EB70DE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845712"/>
        <c:axId val="223846104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'HCAHPS '!$A$11</c15:sqref>
                        </c15:formulaRef>
                      </c:ext>
                    </c:extLst>
                    <c:strCache>
                      <c:ptCount val="1"/>
                      <c:pt idx="0">
                        <c:v>D3-2 Inpatients HCAHPS 
Patient Satisfaction</c:v>
                      </c:pt>
                    </c:strCache>
                  </c:strRef>
                </c:tx>
                <c:spPr>
                  <a:ln w="28575" cap="rnd">
                    <a:solidFill>
                      <a:srgbClr val="00B050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rgbClr val="00B050"/>
                    </a:solidFill>
                    <a:ln w="9525">
                      <a:solidFill>
                        <a:srgbClr val="00B050"/>
                      </a:solidFill>
                    </a:ln>
                    <a:effectLst/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'HCAHPS '!$B$3:$L$3</c15:sqref>
                        </c15:formulaRef>
                      </c:ext>
                    </c:extLst>
                    <c:strCache>
                      <c:ptCount val="11"/>
                      <c:pt idx="0">
                        <c:v>2Q15</c:v>
                      </c:pt>
                      <c:pt idx="1">
                        <c:v>3Q15</c:v>
                      </c:pt>
                      <c:pt idx="2">
                        <c:v>4Q15</c:v>
                      </c:pt>
                      <c:pt idx="3">
                        <c:v>1Q16</c:v>
                      </c:pt>
                      <c:pt idx="4">
                        <c:v>2Q16</c:v>
                      </c:pt>
                      <c:pt idx="5">
                        <c:v>3Q16</c:v>
                      </c:pt>
                      <c:pt idx="6">
                        <c:v>4Q16</c:v>
                      </c:pt>
                      <c:pt idx="7">
                        <c:v>1Q17</c:v>
                      </c:pt>
                      <c:pt idx="8">
                        <c:v>2Q17</c:v>
                      </c:pt>
                      <c:pt idx="9">
                        <c:v>3Q17</c:v>
                      </c:pt>
                      <c:pt idx="10">
                        <c:v>4Q17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'HCAHPS '!$B$16:$L$16</c15:sqref>
                        </c15:formulaRef>
                      </c:ext>
                    </c:extLst>
                    <c:numCache>
                      <c:formatCode>0%</c:formatCode>
                      <c:ptCount val="11"/>
                      <c:pt idx="0">
                        <c:v>0.61</c:v>
                      </c:pt>
                      <c:pt idx="1">
                        <c:v>0.32</c:v>
                      </c:pt>
                      <c:pt idx="2">
                        <c:v>0.27</c:v>
                      </c:pt>
                      <c:pt idx="3">
                        <c:v>0.42</c:v>
                      </c:pt>
                      <c:pt idx="4">
                        <c:v>0.39</c:v>
                      </c:pt>
                      <c:pt idx="5">
                        <c:v>0.4</c:v>
                      </c:pt>
                      <c:pt idx="6">
                        <c:v>0.33</c:v>
                      </c:pt>
                      <c:pt idx="7">
                        <c:v>0.18</c:v>
                      </c:pt>
                      <c:pt idx="8">
                        <c:v>0.55000000000000004</c:v>
                      </c:pt>
                      <c:pt idx="9">
                        <c:v>0.52</c:v>
                      </c:pt>
                      <c:pt idx="10">
                        <c:v>0.64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590F-4FBC-AD1E-E747EB70DEBC}"/>
                  </c:ext>
                </c:extLst>
              </c15:ser>
            </c15:filteredLineSeries>
          </c:ext>
        </c:extLst>
      </c:lineChart>
      <c:catAx>
        <c:axId val="22384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846104"/>
        <c:crosses val="autoZero"/>
        <c:auto val="1"/>
        <c:lblAlgn val="ctr"/>
        <c:lblOffset val="100"/>
        <c:noMultiLvlLbl val="0"/>
      </c:catAx>
      <c:valAx>
        <c:axId val="22384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8457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9491C"/>
    <w:rsid w:val="004B3FB7"/>
    <w:rsid w:val="004C412D"/>
    <w:rsid w:val="007E62B5"/>
    <w:rsid w:val="00870E03"/>
    <w:rsid w:val="009C63E1"/>
    <w:rsid w:val="00B254DF"/>
    <w:rsid w:val="00BC5EC8"/>
    <w:rsid w:val="00C253A4"/>
    <w:rsid w:val="00CC3F6B"/>
    <w:rsid w:val="00CC6684"/>
    <w:rsid w:val="00E17380"/>
    <w:rsid w:val="00F14F73"/>
    <w:rsid w:val="00F26499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B7D7-7507-4886-80E3-79631237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6</cp:revision>
  <cp:lastPrinted>2017-12-31T20:40:00Z</cp:lastPrinted>
  <dcterms:created xsi:type="dcterms:W3CDTF">2018-04-03T11:18:00Z</dcterms:created>
  <dcterms:modified xsi:type="dcterms:W3CDTF">2018-04-03T12:08:00Z</dcterms:modified>
</cp:coreProperties>
</file>