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62D5C2DF" w:rsidR="00B749DB" w:rsidRPr="00BE35DC" w:rsidRDefault="00B749DB" w:rsidP="00BC5A9A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 w:rsidR="00946222"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D5DA493FBF3841A08E1E6B29D42AFC3B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Content>
          <w:r w:rsidR="00BC5A9A"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="00946222">
        <w:rPr>
          <w:sz w:val="32"/>
        </w:rPr>
        <w:t xml:space="preserve">                         </w:t>
      </w:r>
      <w:r>
        <w:rPr>
          <w:sz w:val="32"/>
        </w:rPr>
        <w:t xml:space="preserve"> </w:t>
      </w:r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B0D8D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5B426C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  <w:bookmarkStart w:id="0" w:name="_GoBack"/>
        <w:bookmarkEnd w:id="0"/>
      </w:tr>
      <w:tr w:rsidR="00B749DB" w:rsidRPr="00CD0A93" w14:paraId="7D345D13" w14:textId="77777777" w:rsidTr="005B426C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18E22146" w:rsidR="00B749DB" w:rsidRPr="00321654" w:rsidRDefault="00CF3667" w:rsidP="006C269B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Enhance</w:t>
                </w:r>
                <w:r w:rsidR="006C269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8E400D" w:rsidRPr="008E400D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</w:t>
                </w:r>
                <w:r w:rsidR="008E400D" w:rsidRPr="00393B29">
                  <w:rPr>
                    <w:rFonts w:cs="Arial"/>
                    <w:i/>
                    <w:color w:val="000000" w:themeColor="text1"/>
                    <w:sz w:val="20"/>
                    <w:szCs w:val="20"/>
                  </w:rPr>
                  <w:t xml:space="preserve">Annals </w:t>
                </w:r>
                <w:r w:rsidR="00393B29" w:rsidRPr="00393B29">
                  <w:rPr>
                    <w:rFonts w:cs="Arial"/>
                    <w:i/>
                    <w:color w:val="000000" w:themeColor="text1"/>
                    <w:sz w:val="20"/>
                    <w:szCs w:val="20"/>
                  </w:rPr>
                  <w:t>of Saudi Medicine</w:t>
                </w:r>
                <w:r w:rsidR="008E400D" w:rsidRPr="008E400D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Peer-Review Process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5B426C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5B426C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5B426C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5B426C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46BA8893" w:rsidR="00B749DB" w:rsidRPr="00321654" w:rsidRDefault="008E400D" w:rsidP="00393B29">
                <w:pPr>
                  <w:jc w:val="both"/>
                  <w:rPr>
                    <w:rFonts w:cs="Arial"/>
                    <w:color w:val="000000" w:themeColor="text1"/>
                    <w:sz w:val="20"/>
                  </w:rPr>
                </w:pPr>
                <w:r w:rsidRPr="008E400D">
                  <w:rPr>
                    <w:rFonts w:cs="Arial"/>
                    <w:color w:val="000000" w:themeColor="text1"/>
                    <w:sz w:val="20"/>
                  </w:rPr>
                  <w:t>Academic and Training Affairs (ATA), Scientific Publications Office</w:t>
                </w:r>
              </w:p>
            </w:tc>
          </w:sdtContent>
        </w:sdt>
      </w:tr>
      <w:tr w:rsidR="00B749DB" w:rsidRPr="00CD0A93" w14:paraId="17DF1766" w14:textId="77777777" w:rsidTr="005B426C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5B426C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393B29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393B29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5ECA8661" w:rsidR="00B749DB" w:rsidRPr="00CD0A93" w:rsidRDefault="00B749DB" w:rsidP="00393B29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End Date</w:t>
            </w:r>
          </w:p>
        </w:tc>
      </w:tr>
      <w:tr w:rsidR="00B749DB" w:rsidRPr="00CD0A93" w14:paraId="7D76FCCB" w14:textId="77777777" w:rsidTr="005B426C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393B29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6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B79759B" w:rsidR="00B749DB" w:rsidRPr="00321654" w:rsidRDefault="008E400D" w:rsidP="00393B29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0A4A256" w:rsidR="00B749DB" w:rsidRPr="00321654" w:rsidRDefault="00E75903" w:rsidP="00393B29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5B426C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0EDDAB4" w:rsidR="00B749DB" w:rsidRDefault="00B749DB" w:rsidP="00393B29">
            <w:pPr>
              <w:jc w:val="both"/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 xml:space="preserve">Why </w:t>
            </w:r>
            <w:r w:rsidR="00393B29">
              <w:rPr>
                <w:rFonts w:cs="Arial"/>
                <w:color w:val="7F7F7F" w:themeColor="text2"/>
                <w:sz w:val="20"/>
                <w:szCs w:val="20"/>
              </w:rPr>
              <w:t xml:space="preserve">was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the project needed?</w:t>
            </w:r>
          </w:p>
          <w:p w14:paraId="451CF3AC" w14:textId="77777777" w:rsidR="006C269B" w:rsidRPr="0037000B" w:rsidRDefault="006C269B" w:rsidP="005B426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2D6AA6D7" w14:textId="0584037B" w:rsidR="007C5B94" w:rsidRPr="007339B0" w:rsidRDefault="00F7230A" w:rsidP="00946222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</w:t>
                </w:r>
                <w:r w:rsidR="00A037F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he </w:t>
                </w:r>
                <w:r w:rsidR="00A037F4" w:rsidRPr="00393B29">
                  <w:rPr>
                    <w:rFonts w:cs="Arial"/>
                    <w:i/>
                    <w:color w:val="000000" w:themeColor="text1"/>
                    <w:sz w:val="20"/>
                    <w:szCs w:val="20"/>
                  </w:rPr>
                  <w:t>Annals of Saudi Medicine</w:t>
                </w:r>
                <w:r w:rsidRPr="00393B29">
                  <w:rPr>
                    <w:rFonts w:cs="Arial"/>
                    <w:i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672551" w:rsidRPr="00672551">
                  <w:rPr>
                    <w:rFonts w:cs="Arial"/>
                    <w:color w:val="000000" w:themeColor="text1"/>
                    <w:sz w:val="20"/>
                    <w:szCs w:val="20"/>
                  </w:rPr>
                  <w:t>(ASM)</w:t>
                </w:r>
                <w:r w:rsidR="00672551">
                  <w:rPr>
                    <w:rFonts w:cs="Arial"/>
                    <w:i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A037F4" w:rsidRPr="00F7230A">
                  <w:rPr>
                    <w:rFonts w:cs="Arial"/>
                    <w:color w:val="000000" w:themeColor="text1"/>
                    <w:sz w:val="20"/>
                    <w:szCs w:val="20"/>
                  </w:rPr>
                  <w:t>submission</w:t>
                </w:r>
                <w:r w:rsidR="00C930D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and peer review</w:t>
                </w:r>
                <w:r w:rsidR="00A037F4" w:rsidRPr="00F7230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process takes 150 days </w:t>
                </w:r>
                <w:r w:rsidR="00FB6876" w:rsidRPr="00FB6876">
                  <w:rPr>
                    <w:rFonts w:cs="Arial"/>
                    <w:color w:val="000000" w:themeColor="text1"/>
                    <w:sz w:val="20"/>
                    <w:szCs w:val="20"/>
                  </w:rPr>
                  <w:t>from submission of the manuscript to</w:t>
                </w:r>
                <w:r w:rsidR="00393B29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>final decision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on publication status</w:t>
                </w:r>
                <w:r w:rsid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. </w:t>
                </w:r>
                <w:r w:rsidR="00FB687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In order to </w:t>
                </w:r>
                <w:r w:rsidR="006A5686">
                  <w:rPr>
                    <w:rFonts w:cs="Arial"/>
                    <w:color w:val="000000" w:themeColor="text1"/>
                    <w:sz w:val="20"/>
                    <w:szCs w:val="20"/>
                  </w:rPr>
                  <w:t>smooth</w:t>
                </w:r>
                <w:r w:rsidR="00FB687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the workflow process</w:t>
                </w:r>
                <w:r w:rsidR="006A568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and</w:t>
                </w:r>
                <w:r w:rsidR="006A5686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6A5686" w:rsidRPr="006A5686">
                  <w:rPr>
                    <w:rFonts w:cs="Arial"/>
                    <w:color w:val="000000" w:themeColor="text1"/>
                    <w:sz w:val="20"/>
                    <w:szCs w:val="20"/>
                  </w:rPr>
                  <w:t>ensure rapid publication</w:t>
                </w:r>
                <w:r w:rsid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>, t</w:t>
                </w:r>
                <w:r w:rsidR="00A037F4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he </w:t>
                </w:r>
                <w:r w:rsidR="0021420B" w:rsidRPr="00946222">
                  <w:rPr>
                    <w:rFonts w:cs="Arial"/>
                    <w:color w:val="000000" w:themeColor="text1"/>
                    <w:sz w:val="20"/>
                    <w:szCs w:val="20"/>
                  </w:rPr>
                  <w:t>ASM</w:t>
                </w:r>
                <w:r w:rsidR="00393B29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has concentrated on improving the ability to find suitable peer reviewers by activating the Reviewer Locator feature under </w:t>
                </w:r>
                <w:r w:rsidR="0021420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>Scho</w:t>
                </w:r>
                <w:r w:rsidR="00A037F4">
                  <w:rPr>
                    <w:rFonts w:cs="Arial"/>
                    <w:color w:val="000000" w:themeColor="text1"/>
                    <w:sz w:val="20"/>
                    <w:szCs w:val="20"/>
                  </w:rPr>
                  <w:t>l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>arOne</w:t>
                </w:r>
                <w:r w:rsidR="007339B0" w:rsidRPr="00A037F4">
                  <w:rPr>
                    <w:rFonts w:cs="Arial"/>
                    <w:color w:val="000000" w:themeColor="text1"/>
                    <w:sz w:val="20"/>
                    <w:szCs w:val="20"/>
                    <w:vertAlign w:val="superscript"/>
                  </w:rPr>
                  <w:t>TM</w:t>
                </w:r>
                <w:r w:rsidR="0067255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submission s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>ystem</w:t>
                </w:r>
                <w:r w:rsidR="005E45E9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and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5E45E9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ensuring 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>the availability</w:t>
                </w:r>
                <w:r w:rsidR="0067255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and responsiveness of the peer </w:t>
                </w:r>
                <w:r w:rsidR="007339B0" w:rsidRPr="007339B0">
                  <w:rPr>
                    <w:rFonts w:cs="Arial"/>
                    <w:color w:val="000000" w:themeColor="text1"/>
                    <w:sz w:val="20"/>
                    <w:szCs w:val="20"/>
                  </w:rPr>
                  <w:t>reviewers</w:t>
                </w:r>
                <w:r w:rsidR="005E45E9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</w:sdtContent>
          </w:sdt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02BCE12F" w:rsidR="00B749DB" w:rsidRDefault="00B749DB" w:rsidP="005B426C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317776E" w14:textId="77777777" w:rsidR="006C269B" w:rsidRPr="004910B3" w:rsidRDefault="006C269B" w:rsidP="005B426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33C4561D" w:rsidR="00B749DB" w:rsidRPr="008E400D" w:rsidRDefault="008E400D" w:rsidP="00946222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improve</w:t>
            </w:r>
            <w:r w:rsidR="00A037F4">
              <w:rPr>
                <w:rFonts w:cs="Arial"/>
                <w:color w:val="000000" w:themeColor="text1"/>
                <w:sz w:val="20"/>
                <w:szCs w:val="20"/>
              </w:rPr>
              <w:t xml:space="preserve"> the </w:t>
            </w:r>
            <w:r w:rsidR="00946222" w:rsidRPr="00946222">
              <w:rPr>
                <w:rFonts w:cs="Arial"/>
                <w:color w:val="000000" w:themeColor="text1"/>
                <w:sz w:val="20"/>
                <w:szCs w:val="20"/>
              </w:rPr>
              <w:t>ASM</w:t>
            </w:r>
            <w:r w:rsidR="0094622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8754E">
              <w:rPr>
                <w:rFonts w:cs="Arial"/>
                <w:color w:val="000000" w:themeColor="text1"/>
                <w:sz w:val="20"/>
                <w:szCs w:val="20"/>
              </w:rPr>
              <w:t xml:space="preserve">submission and </w:t>
            </w:r>
            <w:r w:rsidR="00A037F4" w:rsidRPr="008E400D">
              <w:rPr>
                <w:rFonts w:cs="Arial"/>
                <w:color w:val="000000" w:themeColor="text1"/>
                <w:sz w:val="20"/>
                <w:szCs w:val="20"/>
              </w:rPr>
              <w:t>peer-review process</w:t>
            </w:r>
            <w:r w:rsidR="00BE76E4">
              <w:rPr>
                <w:rFonts w:cs="Arial"/>
                <w:color w:val="000000" w:themeColor="text1"/>
                <w:sz w:val="20"/>
                <w:szCs w:val="20"/>
              </w:rPr>
              <w:t xml:space="preserve"> by decreasing the turnaround time from submission to final decision from 150 to 30 days before the end of 2016.</w:t>
            </w:r>
          </w:p>
          <w:p w14:paraId="0EF0C16A" w14:textId="77777777" w:rsidR="00B749DB" w:rsidRPr="004910B3" w:rsidRDefault="00B749DB" w:rsidP="005B426C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5B426C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5B426C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5B426C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B8085B" w:rsidP="005B426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56B05511" w:rsidR="00B749DB" w:rsidRPr="0037000B" w:rsidRDefault="00B8085B" w:rsidP="005B426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D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426865DE" w:rsidR="00B749DB" w:rsidRPr="0037000B" w:rsidRDefault="00B8085B" w:rsidP="005B426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9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9311E66" w:rsidR="00B749DB" w:rsidRPr="0037000B" w:rsidRDefault="00B8085B" w:rsidP="005B426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5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B8085B" w:rsidP="005B426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B8085B" w:rsidP="005B426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5B426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5B426C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5B426C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5B426C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1A6F595" w:rsidR="00B749DB" w:rsidRPr="0037000B" w:rsidRDefault="007C5B94" w:rsidP="005B426C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5B426C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6"/>
      </w:tblGrid>
      <w:tr w:rsidR="00B749DB" w:rsidRPr="00CD0A93" w14:paraId="6BD332CD" w14:textId="77777777" w:rsidTr="005B426C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5B426C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082" w:type="dxa"/>
              <w:tblLook w:val="04A0" w:firstRow="1" w:lastRow="0" w:firstColumn="1" w:lastColumn="0" w:noHBand="0" w:noVBand="1"/>
            </w:tblPr>
            <w:tblGrid>
              <w:gridCol w:w="5041"/>
              <w:gridCol w:w="5041"/>
            </w:tblGrid>
            <w:tr w:rsidR="00B749DB" w14:paraId="16F98123" w14:textId="77777777" w:rsidTr="00946222">
              <w:trPr>
                <w:trHeight w:val="389"/>
              </w:trPr>
              <w:tc>
                <w:tcPr>
                  <w:tcW w:w="5041" w:type="dxa"/>
                </w:tcPr>
                <w:p w14:paraId="4A1040C2" w14:textId="77777777" w:rsidR="00B749DB" w:rsidRPr="001942D3" w:rsidRDefault="00B749DB" w:rsidP="005B426C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041" w:type="dxa"/>
                </w:tcPr>
                <w:p w14:paraId="6C912306" w14:textId="77777777" w:rsidR="00B749DB" w:rsidRPr="001942D3" w:rsidRDefault="00B749DB" w:rsidP="005B426C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946222">
              <w:trPr>
                <w:trHeight w:val="549"/>
              </w:trPr>
              <w:tc>
                <w:tcPr>
                  <w:tcW w:w="5041" w:type="dxa"/>
                </w:tcPr>
                <w:p w14:paraId="197447C8" w14:textId="219DAB31" w:rsidR="008E400D" w:rsidRPr="00BE76E4" w:rsidRDefault="008E400D" w:rsidP="00BE76E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BE76E4">
                    <w:rPr>
                      <w:rFonts w:cs="Arial"/>
                      <w:color w:val="000000" w:themeColor="text1"/>
                      <w:sz w:val="20"/>
                    </w:rPr>
                    <w:t>Turnaround time from submission to final decision</w:t>
                  </w:r>
                </w:p>
              </w:tc>
              <w:tc>
                <w:tcPr>
                  <w:tcW w:w="5041" w:type="dxa"/>
                </w:tcPr>
                <w:p w14:paraId="1CF29601" w14:textId="38BD4819" w:rsidR="008E400D" w:rsidRPr="00BE76E4" w:rsidRDefault="007C5B94" w:rsidP="00BE76E4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BE76E4">
                    <w:rPr>
                      <w:rFonts w:cs="Arial"/>
                      <w:color w:val="000000" w:themeColor="text1"/>
                      <w:sz w:val="20"/>
                    </w:rPr>
                    <w:t>Within 30 days</w:t>
                  </w:r>
                </w:p>
              </w:tc>
            </w:tr>
          </w:tbl>
          <w:p w14:paraId="17D89B86" w14:textId="77777777" w:rsidR="00B749DB" w:rsidRPr="001942D3" w:rsidRDefault="00B749DB" w:rsidP="005B426C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5B426C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5B426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A07F3A4" w14:textId="7913A9D4" w:rsidR="008E400D" w:rsidRPr="008E400D" w:rsidRDefault="00672551" w:rsidP="009462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The ASM has improved its peer-</w:t>
            </w:r>
            <w:r w:rsidR="008E400D" w:rsidRPr="008E400D">
              <w:rPr>
                <w:rFonts w:cs="Arial"/>
                <w:sz w:val="20"/>
                <w:szCs w:val="28"/>
              </w:rPr>
              <w:t>review process to ensure rapid publication.</w:t>
            </w:r>
          </w:p>
          <w:p w14:paraId="7E1AB0AB" w14:textId="4C1EA8D4" w:rsidR="008E400D" w:rsidRPr="008E400D" w:rsidRDefault="008E400D" w:rsidP="009462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8"/>
              </w:rPr>
            </w:pPr>
            <w:r w:rsidRPr="008E400D">
              <w:rPr>
                <w:rFonts w:cs="Arial"/>
                <w:sz w:val="20"/>
                <w:szCs w:val="28"/>
              </w:rPr>
              <w:t>All manuscrip</w:t>
            </w:r>
            <w:r w:rsidR="00672551">
              <w:rPr>
                <w:rFonts w:cs="Arial"/>
                <w:sz w:val="20"/>
                <w:szCs w:val="28"/>
              </w:rPr>
              <w:t>ts are subject to a strict peer-</w:t>
            </w:r>
            <w:r w:rsidRPr="008E400D">
              <w:rPr>
                <w:rFonts w:cs="Arial"/>
                <w:sz w:val="20"/>
                <w:szCs w:val="28"/>
              </w:rPr>
              <w:t>review process involving members of the Editorial Board and external reviewers with expertise in the subject matter.</w:t>
            </w:r>
          </w:p>
          <w:p w14:paraId="60F88502" w14:textId="6823D59C" w:rsidR="008E400D" w:rsidRPr="008E400D" w:rsidRDefault="008E400D" w:rsidP="009462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8"/>
              </w:rPr>
            </w:pPr>
            <w:r w:rsidRPr="008E400D">
              <w:rPr>
                <w:rFonts w:cs="Arial"/>
                <w:sz w:val="20"/>
                <w:szCs w:val="28"/>
              </w:rPr>
              <w:t>The process starts with an</w:t>
            </w:r>
            <w:r w:rsidR="00672551">
              <w:rPr>
                <w:rFonts w:cs="Arial"/>
                <w:sz w:val="20"/>
                <w:szCs w:val="28"/>
              </w:rPr>
              <w:t xml:space="preserve"> initial review by a scientist </w:t>
            </w:r>
            <w:r w:rsidRPr="008E400D">
              <w:rPr>
                <w:rFonts w:cs="Arial"/>
                <w:sz w:val="20"/>
                <w:szCs w:val="28"/>
              </w:rPr>
              <w:t xml:space="preserve">who makes an initial assessment of suitability for publication in the </w:t>
            </w:r>
            <w:r w:rsidR="00672551">
              <w:rPr>
                <w:rFonts w:cs="Arial"/>
                <w:sz w:val="20"/>
                <w:szCs w:val="28"/>
              </w:rPr>
              <w:t xml:space="preserve">ASM. </w:t>
            </w:r>
          </w:p>
          <w:p w14:paraId="3CEFAF8D" w14:textId="1E44F79A" w:rsidR="008E400D" w:rsidRPr="008E400D" w:rsidRDefault="00E75B7B" w:rsidP="009462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Reviewing e</w:t>
            </w:r>
            <w:r w:rsidR="008E400D" w:rsidRPr="008E400D">
              <w:rPr>
                <w:rFonts w:cs="Arial"/>
                <w:sz w:val="20"/>
                <w:szCs w:val="28"/>
              </w:rPr>
              <w:t>ditor makes an immediate decision or invites external reviewers, who are blinded to the manuscript author(s), to assess the manuscript further, recommend any revisions, and offer their opinion on acceptability.</w:t>
            </w:r>
          </w:p>
          <w:p w14:paraId="5900E502" w14:textId="77777777" w:rsidR="00B749DB" w:rsidRPr="00DD439D" w:rsidRDefault="00B749DB" w:rsidP="008E400D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9816D4">
        <w:trPr>
          <w:trHeight w:val="11250"/>
        </w:trPr>
        <w:tc>
          <w:tcPr>
            <w:tcW w:w="10512" w:type="dxa"/>
          </w:tcPr>
          <w:p w14:paraId="4B182767" w14:textId="35712D9F" w:rsidR="00B749DB" w:rsidRPr="00DD439D" w:rsidRDefault="00B749DB" w:rsidP="005B426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5B426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7777777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799086E6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77777777" w:rsidR="009E461E" w:rsidRPr="009E461E" w:rsidRDefault="009E461E" w:rsidP="009E461E"/>
          <w:p w14:paraId="2206B5B8" w14:textId="7F5053EB" w:rsidR="009E461E" w:rsidRPr="009E461E" w:rsidRDefault="00946222" w:rsidP="009E461E"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8AD236" wp14:editId="55AD0DC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-93345</wp:posOffset>
                      </wp:positionV>
                      <wp:extent cx="6057265" cy="345440"/>
                      <wp:effectExtent l="0" t="0" r="13335" b="35560"/>
                      <wp:wrapThrough wrapText="bothSides">
                        <wp:wrapPolygon edited="0">
                          <wp:start x="0" y="0"/>
                          <wp:lineTo x="0" y="22235"/>
                          <wp:lineTo x="21557" y="22235"/>
                          <wp:lineTo x="2155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265" cy="345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1F3BA" w14:textId="2649D907" w:rsidR="00946222" w:rsidRPr="00003050" w:rsidRDefault="00946222" w:rsidP="009462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003050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Improvement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of</w:t>
                                  </w:r>
                                  <w:r w:rsidRPr="00003050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 the </w:t>
                                  </w:r>
                                  <w:r w:rsidRPr="00003050"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Annals of Saudi Medicine</w:t>
                                  </w:r>
                                  <w:r w:rsidRPr="00003050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 workflow process.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D236" id="Rectangle 6" o:spid="_x0000_s1026" style="position:absolute;margin-left:13.05pt;margin-top:-7.35pt;width:476.9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VRZgIAABUFAAAOAAAAZHJzL2Uyb0RvYy54bWysVE1v2zAMvQ/YfxB0X51kabYFcYqgRYcB&#10;RVu0HXpWZCkxJokapcTOfv0o2XGLLthh2EUmzS/x8VGLi9YatlcYanAlH5+NOFNOQlW7Tcm/P11/&#10;+MxZiMJVwoBTJT+owC+W798tGj9XE9iCqRQySuLCvPEl38bo50UR5FZZEc7AK0dGDWhFJBU3RYWi&#10;oezWFJPRaFY0gJVHkCoE+nvVGfky59dayXindVCRmZLT3WI+MZ/rdBbLhZhvUPhtLftriH+4hRW1&#10;o6JDqisRBdth/UcqW0uEADqeSbAFaF1LlXugbsajN908boVXuRcCJ/gBpvD/0srb/T2yuir5jDMn&#10;LI3ogUATbmMUmyV4Gh/m5PXo77HXAomp11ajTV/qgrUZ0sMAqWojk/RzNjr/NJmdcybJ9nF6Pp1m&#10;zIuXaI8hflVgWRJKjlQ9Iyn2NyFSRXI9upCSbtPVz1I8GJWuYNyD0tQGVZzk6EwgdWmQ7QWNvvox&#10;Tr1QruyZQnRtzBA0PhVk4jGo901hKpNqCBydCnypNnjniuDiEGhrB/j3YN35H7vuek1tx3bd9rNY&#10;Q3WgASJ0zA5eXteE440I8V4gUZlIT+sZ7+jQBpqSQy9xtgX8dep/8ieGkZWzhlaj5OHnTqDizHxz&#10;xL0v4zRFFrMypfmSgq8t69cWt7OXQCMY00PgZRaTfzRHUSPYZ9riVapKJuEk1S65jHhULmO3svQO&#10;SLVaZTfaHy/ijXv0MiVPACeePLXPAn1Ppkg0vIXjGon5G051vinSwWoXQdeZcAniDtceetq9zJ3+&#10;nUjL/VrPXi+v2fI3AAAA//8DAFBLAwQUAAYACAAAACEAcHJwat8AAAAJAQAADwAAAGRycy9kb3du&#10;cmV2LnhtbEyPwU7DMBBE70j8g7VI3Fo7BSVNGqeqEJxAVBQOHN14m0TY6yh2k/TvMSd6XO3TzJty&#10;O1vDRhx850hCshTAkGqnO2okfH2+LNbAfFCklXGEEi7oYVvd3pSq0G6iDxwPoWExhHyhJLQh9AXn&#10;vm7RKr90PVL8ndxgVYjn0HA9qCmGW8NXQqTcqo5iQ6t6fGqx/jmcrQS37y5mN+Tv4xtm36/7IKY5&#10;fZby/m7ebYAFnMM/DH/6UR2q6HR0Z9KeGQmrNImkhEXymAGLQL4WcdxRwkOeAa9Kfr2g+gUAAP//&#10;AwBQSwECLQAUAAYACAAAACEAtoM4kv4AAADhAQAAEwAAAAAAAAAAAAAAAAAAAAAAW0NvbnRlbnRf&#10;VHlwZXNdLnhtbFBLAQItABQABgAIAAAAIQA4/SH/1gAAAJQBAAALAAAAAAAAAAAAAAAAAC8BAABf&#10;cmVscy8ucmVsc1BLAQItABQABgAIAAAAIQCZE2VRZgIAABUFAAAOAAAAAAAAAAAAAAAAAC4CAABk&#10;cnMvZTJvRG9jLnhtbFBLAQItABQABgAIAAAAIQBwcnBq3wAAAAkBAAAPAAAAAAAAAAAAAAAAAMAE&#10;AABkcnMvZG93bnJldi54bWxQSwUGAAAAAAQABADzAAAAzAUAAAAA&#10;" fillcolor="white [3201]" strokecolor="black [3200]" strokeweight="1pt">
                      <v:textbox>
                        <w:txbxContent>
                          <w:p w14:paraId="2CA1F3BA" w14:textId="2649D907" w:rsidR="00946222" w:rsidRPr="00003050" w:rsidRDefault="00946222" w:rsidP="00946222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00305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Improvement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of</w:t>
                            </w:r>
                            <w:r w:rsidRPr="0000305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the </w:t>
                            </w:r>
                            <w:r w:rsidRPr="00003050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Annals of Saudi Medicine</w:t>
                            </w:r>
                            <w:r w:rsidRPr="0000305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workflow process.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BC6DDA7" w14:textId="5AAFB0EC" w:rsidR="009E461E" w:rsidRPr="009E461E" w:rsidRDefault="009E461E" w:rsidP="009E461E"/>
          <w:p w14:paraId="26925E63" w14:textId="4A9A58CC" w:rsidR="009E461E" w:rsidRPr="009E461E" w:rsidRDefault="00946222" w:rsidP="009E461E"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7D606FA7" wp14:editId="1E4D79C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99695</wp:posOffset>
                  </wp:positionV>
                  <wp:extent cx="6367780" cy="1796415"/>
                  <wp:effectExtent l="76200" t="76200" r="160020" b="159385"/>
                  <wp:wrapTight wrapText="bothSides">
                    <wp:wrapPolygon edited="0">
                      <wp:start x="-258" y="-916"/>
                      <wp:lineTo x="-258" y="23211"/>
                      <wp:lineTo x="21970" y="23211"/>
                      <wp:lineTo x="22057" y="19241"/>
                      <wp:lineTo x="22057" y="-916"/>
                      <wp:lineTo x="-258" y="-916"/>
                    </wp:wrapPolygon>
                  </wp:wrapTight>
                  <wp:docPr id="11" name="Picture 11" descr="../../Desktop/Screen%20Shot%202018-03-12%20at%206.23.45%20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../../Desktop/Screen%20Shot%202018-03-12%20at%206.23.45%20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780" cy="17964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2FD564" w14:textId="47B068B0" w:rsidR="009E461E" w:rsidRPr="009E461E" w:rsidRDefault="00946222" w:rsidP="009E461E"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311BA7" wp14:editId="6AF5EC4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22225</wp:posOffset>
                      </wp:positionV>
                      <wp:extent cx="6057265" cy="345440"/>
                      <wp:effectExtent l="0" t="0" r="13335" b="35560"/>
                      <wp:wrapThrough wrapText="bothSides">
                        <wp:wrapPolygon edited="0">
                          <wp:start x="0" y="0"/>
                          <wp:lineTo x="0" y="22235"/>
                          <wp:lineTo x="21557" y="22235"/>
                          <wp:lineTo x="21557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265" cy="345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F3E2A" w14:textId="06A8DD02" w:rsidR="00946222" w:rsidRPr="00003050" w:rsidRDefault="00946222" w:rsidP="009462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003050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Improvement 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of</w:t>
                                  </w:r>
                                  <w:r w:rsidRPr="00003050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 the </w:t>
                                  </w:r>
                                  <w:r w:rsidRPr="00003050"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Annals of Saudi Medicine</w:t>
                                  </w:r>
                                  <w:r w:rsidRPr="00003050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 workflow process.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11BA7" id="Rectangle 1" o:spid="_x0000_s1027" style="position:absolute;margin-left:18pt;margin-top:1.75pt;width:476.9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DyZQIAABwFAAAOAAAAZHJzL2Uyb0RvYy54bWysVN9v0zAQfkfif7D8ztKWbkDVdKo2DSFN&#10;W7UN7dl17DbC9pmz26T89ZydNKvGxAPixfHlfn/3neeXrTVsrzDU4Eo+PhtxppyEqnabkn9/uvnw&#10;mbMQhauEAadKflCBXy7ev5s3fqYmsAVTKWQUxIVZ40u+jdHPiiLIrbIinIFXjpQa0IpIIm6KCkVD&#10;0a0pJqPRRdEAVh5BqhDo73Wn5IscX2sl473WQUVmSk61xXxiPtfpLBZzMdug8Nta9mWIf6jCitpR&#10;0iHUtYiC7bD+I5StJUIAHc8k2AK0rqXKPVA349Grbh63wqvcC4ET/ABT+H9h5d1+hayuaHacOWFp&#10;RA8EmnAbo9g4wdP4MCOrR7/CXgp0Tb22Gm36UheszZAeBkhVG5mknxej80+Ti3POJOk+Ts+n04x5&#10;8eLtMcSvCixLl5IjZc9Iiv1tiJSRTI8mJKRquvz5Fg9GpRKMe1Ca2qCMk+ydCaSuDLK9oNFXP3Iv&#10;FCtbJhddGzM4jd9yMvHo1NsmN5VJNTiO3nJ8yTZY54zg4uBoawf4d2fd2R+77npNbcd23fYz60ey&#10;hupAc0ToCB68vKkJzlsR4kogMZq4T1sa7+nQBpqSQ3/jbAv4663/yZ6IRlrOGtqQkoefO4GKM/PN&#10;EQW/jNMwWczClMZMAp5q1qcat7NXQJMgmlF1+ZrsozleNYJ9pmVepqykEk5S7pLLiEfhKnabS8+B&#10;VMtlNqM18iLeukcvU/CEc6LLU/ss0PecisTGOzhuk5i9olZnmzwdLHcRdJ15l5DucO0nQCuY6dg/&#10;F2nHT+Vs9fKoLX4DAAD//wMAUEsDBBQABgAIAAAAIQD0xcq+3QAAAAcBAAAPAAAAZHJzL2Rvd25y&#10;ZXYueG1sTI/BTsMwEETvSPyDtUjcqAOoaR3iVBWCE4iKwoGjmyxJhL2ObDdJ/57lRE+r0Yxm3pab&#10;2VkxYoi9Jw23iwwEUu2bnloNnx/PN2sQMRlqjPWEGk4YYVNdXpSmaPxE7zjuUyu4hGJhNHQpDYWU&#10;se7QmbjwAxJ73z44k1iGVjbBTFzurLzLslw60xMvdGbAxw7rn/3RafC7/mS3Qb2Nr7j6etmlbJrz&#10;J62vr+btA4iEc/oPwx8+o0PFTAd/pCYKq+E+51cS3yUIttVaKRAHDcuVAlmV8py/+gUAAP//AwBQ&#10;SwECLQAUAAYACAAAACEAtoM4kv4AAADhAQAAEwAAAAAAAAAAAAAAAAAAAAAAW0NvbnRlbnRfVHlw&#10;ZXNdLnhtbFBLAQItABQABgAIAAAAIQA4/SH/1gAAAJQBAAALAAAAAAAAAAAAAAAAAC8BAABfcmVs&#10;cy8ucmVsc1BLAQItABQABgAIAAAAIQDZ8DDyZQIAABwFAAAOAAAAAAAAAAAAAAAAAC4CAABkcnMv&#10;ZTJvRG9jLnhtbFBLAQItABQABgAIAAAAIQD0xcq+3QAAAAcBAAAPAAAAAAAAAAAAAAAAAL8EAABk&#10;cnMvZG93bnJldi54bWxQSwUGAAAAAAQABADzAAAAyQUAAAAA&#10;" fillcolor="white [3201]" strokecolor="black [3200]" strokeweight="1pt">
                      <v:textbox>
                        <w:txbxContent>
                          <w:p w14:paraId="72BF3E2A" w14:textId="06A8DD02" w:rsidR="00946222" w:rsidRPr="00003050" w:rsidRDefault="00946222" w:rsidP="00946222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00305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Improvement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of</w:t>
                            </w:r>
                            <w:r w:rsidRPr="0000305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the </w:t>
                            </w:r>
                            <w:r w:rsidRPr="00003050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Annals of Saudi Medicine</w:t>
                            </w:r>
                            <w:r w:rsidRPr="0000305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workflow process.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A62A5E2" w14:textId="1EE176E1" w:rsidR="009E461E" w:rsidRDefault="009E461E" w:rsidP="00946222">
            <w:pPr>
              <w:tabs>
                <w:tab w:val="left" w:pos="3089"/>
              </w:tabs>
            </w:pPr>
          </w:p>
          <w:p w14:paraId="62DD14B1" w14:textId="1D44AD51" w:rsidR="009E461E" w:rsidRDefault="009E461E" w:rsidP="009E461E"/>
          <w:p w14:paraId="160B22DB" w14:textId="0DD7A680" w:rsidR="00B749DB" w:rsidRPr="009E461E" w:rsidRDefault="003A7EB5" w:rsidP="009E461E">
            <w:r>
              <w:rPr>
                <w:rFonts w:ascii="Cambria" w:eastAsia="MS Mincho" w:hAnsi="Cambria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48649F" wp14:editId="4AAA99B6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1536065</wp:posOffset>
                      </wp:positionV>
                      <wp:extent cx="2193554" cy="466134"/>
                      <wp:effectExtent l="577850" t="0" r="57531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18008">
                                <a:off x="0" y="0"/>
                                <a:ext cx="2193554" cy="466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7E3C2" w14:textId="26B10875" w:rsidR="0021420B" w:rsidRPr="009B0877" w:rsidRDefault="0021420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B087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500 manuscripts within 30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86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128.6pt;margin-top:120.95pt;width:172.7pt;height:36.7pt;rotation:307801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eeOAIAAGgEAAAOAAAAZHJzL2Uyb0RvYy54bWysVMtu2zAQvBfoPxC8N5L8qmNEDtwEKQoE&#10;SQCnyJmmKFuAxGVJ2pL79R1SlmukPRW9EMvd0exjlrq57ZqaHZR1FemcZ1cpZ0pLKiq9zfn314dP&#10;c86cF7oQNWmV86Ny/Hb58cNNaxZqRDuqC2UZSLRbtCbnO+/NIkmc3KlGuCsySiNYkm2Ex9Vuk8KK&#10;FuxNnYzSdJa0ZAtjSSrn4L3vg3wZ+ctSSf9clk55Vucctfl42nhuwpksb8Ria4XZVfJUhviHKhpR&#10;aSQ9U90LL9jeVn9QNZW05Kj0V5KahMqykir2gG6y9F03650wKvaC4ThzHpP7f7Ty6fBiWVVAO4xH&#10;iwYavarOsy/UMbgwn9a4BWBrA6Dv4Ad28Ds4Q9tdaRtmCeMdzbN5ms7jMNAeAxrEx/OsA7eEc5Rd&#10;j6fTCWcSsclslo0ngTTpuQKnsc5/VdSwYOTcQsvIKg6PzvfQARLgmh6quo561pq1OZ+Np2n84BwB&#10;ea2RI3TUVx4s3226OIHR0NWGiiOajf2geGfkQ4UaHoXzL8JiP+DEzvtnHGVNyEUni7Md2Z9/8wc8&#10;ZEOUsxb7lnP3Yy+s4qz+piHodTaZgNbHy2T6eYSLvYxsLiN639wRVjqL1UUz4H09mKWl5g1PYxWy&#10;IiS0RO6c+8G88/0rwNOSarWKIKykEf5Rr40M1IMIr92bsOYkg4eATzRspli8U6PH9nqs9p7KKkoV&#10;5txP9TR+rHMU+/T0wnu5vEfU7x/E8hcAAAD//wMAUEsDBBQABgAIAAAAIQCQyEY94AAAAAsBAAAP&#10;AAAAZHJzL2Rvd25yZXYueG1sTI9BTsMwEEX3SNzBGiR21GlNojbEqRBSukCVEIUDOLFJAvY4it0k&#10;vT3Diu5m9J/+vCn2i7NsMmPoPUpYrxJgBhuve2wlfH5UD1tgISrUyno0Ei4mwL68vSlUrv2M72Y6&#10;xZZRCYZcSehiHHLOQ9MZp8LKDwYp+/KjU5HWseV6VDOVO8s3SZJxp3qkC50azEtnmp/T2UmYvq0Q&#10;r8dDlb7pi51rPCbVYSvl/d3y/AQsmiX+w/CnT+pQklPtz6gDsxLETmwIpSBJd8CIeMyyDFhNQ7oW&#10;wMuCX/9Q/gIAAP//AwBQSwECLQAUAAYACAAAACEAtoM4kv4AAADhAQAAEwAAAAAAAAAAAAAAAAAA&#10;AAAAW0NvbnRlbnRfVHlwZXNdLnhtbFBLAQItABQABgAIAAAAIQA4/SH/1gAAAJQBAAALAAAAAAAA&#10;AAAAAAAAAC8BAABfcmVscy8ucmVsc1BLAQItABQABgAIAAAAIQAZjceeOAIAAGgEAAAOAAAAAAAA&#10;AAAAAAAAAC4CAABkcnMvZTJvRG9jLnhtbFBLAQItABQABgAIAAAAIQCQyEY94AAAAAsBAAAPAAAA&#10;AAAAAAAAAAAAAJIEAABkcnMvZG93bnJldi54bWxQSwUGAAAAAAQABADzAAAAnwUAAAAA&#10;" filled="f" stroked="f" strokeweight=".5pt">
                      <v:textbox>
                        <w:txbxContent>
                          <w:p w14:paraId="7557E3C2" w14:textId="26B10875" w:rsidR="0021420B" w:rsidRPr="009B0877" w:rsidRDefault="0021420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B087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500 manuscripts within 30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MS Mincho" w:hAnsi="Cambria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504315" wp14:editId="0D57D10B">
                      <wp:simplePos x="0" y="0"/>
                      <wp:positionH relativeFrom="column">
                        <wp:posOffset>1613121</wp:posOffset>
                      </wp:positionH>
                      <wp:positionV relativeFrom="paragraph">
                        <wp:posOffset>641957</wp:posOffset>
                      </wp:positionV>
                      <wp:extent cx="1884238" cy="2107372"/>
                      <wp:effectExtent l="38100" t="38100" r="20955" b="2667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4238" cy="210737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799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27pt;margin-top:50.55pt;width:148.35pt;height:165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g/QEAAE4EAAAOAAAAZHJzL2Uyb0RvYy54bWysVE2P0zAQvSPxHyzfadJ0xXajpivUpXBA&#10;UO0u3F3HTiz5S2PTtP+esZMNsCCthMjB8se8N/Oex9ncno0mJwFBOdvQ5aKkRFjuWmW7hn593L9Z&#10;UxIisy3TzoqGXkSgt9vXrzaDr0XleqdbAQRJbKgH39A+Rl8XReC9MCwsnBcWD6UDwyIuoStaYAOy&#10;G11UZfm2GBy0HhwXIeDu3XhIt5lfSsHjFymDiEQ3FGuLeYQ8HtNYbDes7oD5XvGpDPYPVRimLCad&#10;qe5YZOQ7qD+ojOLggpNxwZ0pnJSKi6wB1SzLZ2oeeuZF1oLmBD/bFP4fLf98OgBRbUNvKLHM4BU9&#10;RGCq6yN5B+AGsnPWoo0OyE1ya/ChRtDOHmBaBX+AJP0swRCplf+IjUDz7FuapTMUSs7Z9cvsujhH&#10;wnFzuV5fVSvsE45n1bK8Xl1XKVMxUia4hxA/CGdImjQ0TBXOpY1J2OlTiCPwCZDA2qYxOK3avdI6&#10;L6A77jSQE8O22O9L/KaMv4VFpvR725J48ehLBMVsp8UUmWiL5MaoP8/iRYsx5b2Q6CqqW2X9uZ/F&#10;nJJxLmy8mpkwOsEkljcDy5eBU3yCitzrM7h6GTwjcmZn4ww2yjr4G0E8L6eS5Rj/5MCoO1lwdO0l&#10;d0a2Bps23+P0wNKr+HWd4T9/A9sfAAAA//8DAFBLAwQUAAYACAAAACEAhdlxLeAAAAALAQAADwAA&#10;AGRycy9kb3ducmV2LnhtbEyPwU7DMBBE70j8g7VI3Fo7TUJQiFOhSIULIBEQZzc2SYS9jmK3Tf+e&#10;5VSOoxnNvKm2i7PsaOYwepSQrAUwg53XI/YSPj92q3tgISrUyno0Es4mwLa+vqpUqf0J382xjT2j&#10;EgylkjDEOJWch24wToW1nwyS9+1npyLJued6Vicqd5ZvhLjjTo1IC4OaTDOY7qc9OAnFDl+e+vPS&#10;tNnza5PkRWrfvlDK25vl8QFYNEu8hOEPn9ChJqa9P6AOzErY5Bl9iWSIJAFGiTwXBbC9hCxNBfC6&#10;4v8/1L8AAAD//wMAUEsBAi0AFAAGAAgAAAAhALaDOJL+AAAA4QEAABMAAAAAAAAAAAAAAAAAAAAA&#10;AFtDb250ZW50X1R5cGVzXS54bWxQSwECLQAUAAYACAAAACEAOP0h/9YAAACUAQAACwAAAAAAAAAA&#10;AAAAAAAvAQAAX3JlbHMvLnJlbHNQSwECLQAUAAYACAAAACEA02qooP0BAABOBAAADgAAAAAAAAAA&#10;AAAAAAAuAgAAZHJzL2Uyb0RvYy54bWxQSwECLQAUAAYACAAAACEAhdlxLeAAAAALAQAADwAAAAAA&#10;AAAAAAAAAABXBAAAZHJzL2Rvd25yZXYueG1sUEsFBgAAAAAEAAQA8wAAAGQ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9B2A12">
              <w:rPr>
                <w:rFonts w:ascii="Cambria" w:eastAsia="MS Mincho" w:hAnsi="Cambria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0BD467E3" wp14:editId="72CD0F6B">
                  <wp:simplePos x="0" y="0"/>
                  <wp:positionH relativeFrom="column">
                    <wp:posOffset>142129</wp:posOffset>
                  </wp:positionH>
                  <wp:positionV relativeFrom="paragraph">
                    <wp:posOffset>419652</wp:posOffset>
                  </wp:positionV>
                  <wp:extent cx="6424653" cy="2995930"/>
                  <wp:effectExtent l="0" t="0" r="0" b="0"/>
                  <wp:wrapNone/>
                  <wp:docPr id="5" name="Picture 5" descr="Macintosh HD:Users:AmalG:Downloads:annualreport2016 (1):Figure 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malG:Downloads:annualreport2016 (1):Figure 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607" cy="304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CC780D" w14:textId="69C54662" w:rsidR="008A3BB1" w:rsidRDefault="008A3BB1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5B426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5B426C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5B426C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5B426C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5B426C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5B426C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242034FC" w14:textId="6DECD67B" w:rsidR="00BE76E4" w:rsidRDefault="00B749DB" w:rsidP="00BE76E4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09028824" w14:textId="47D5B50D" w:rsidR="00BE76E4" w:rsidRPr="00CD0A93" w:rsidRDefault="00BE76E4" w:rsidP="005B426C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F70748" w:rsidRPr="00DD439D" w14:paraId="01B2C299" w14:textId="77777777" w:rsidTr="005B426C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1AE69D1E" w:rsidR="00F70748" w:rsidRPr="00DD439D" w:rsidRDefault="00F70748" w:rsidP="00946222">
                <w:pPr>
                  <w:rPr>
                    <w:rFonts w:cs="Arial"/>
                    <w:sz w:val="20"/>
                    <w:szCs w:val="20"/>
                  </w:rPr>
                </w:pPr>
                <w:r w:rsidRPr="00946222">
                  <w:rPr>
                    <w:rFonts w:cs="Arial"/>
                    <w:sz w:val="20"/>
                    <w:szCs w:val="20"/>
                  </w:rPr>
                  <w:t>Prof. Nasser Al-Sanea, Editor-in-Chief</w:t>
                </w:r>
                <w:r w:rsidR="00336BBE">
                  <w:rPr>
                    <w:rFonts w:cs="Arial"/>
                    <w:sz w:val="20"/>
                    <w:szCs w:val="20"/>
                  </w:rPr>
                  <w:t xml:space="preserve"> of</w:t>
                </w:r>
                <w:r w:rsidR="00946222" w:rsidRPr="00946222">
                  <w:rPr>
                    <w:rFonts w:cs="Arial"/>
                    <w:sz w:val="20"/>
                    <w:szCs w:val="20"/>
                  </w:rPr>
                  <w:br/>
                </w:r>
                <w:r w:rsidR="00946222">
                  <w:rPr>
                    <w:rFonts w:cs="Arial"/>
                    <w:sz w:val="20"/>
                    <w:szCs w:val="20"/>
                  </w:rPr>
                  <w:t>ASM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  <w:sz w:val="20"/>
                <w:szCs w:val="20"/>
              </w:rPr>
              <w:alias w:val="Project Members"/>
              <w:tag w:val="Project Members"/>
              <w:id w:val="-1661838756"/>
            </w:sdtPr>
            <w:sdtEndPr/>
            <w:sdtContent>
              <w:p w14:paraId="4BDA9C57" w14:textId="77777777" w:rsidR="00F70748" w:rsidRDefault="00F70748" w:rsidP="00946222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Dr. Yaser Adi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Scientist</w:t>
                </w:r>
              </w:p>
              <w:p w14:paraId="1CAC881B" w14:textId="566C18FB" w:rsidR="00F70748" w:rsidRPr="006354BC" w:rsidRDefault="00946222" w:rsidP="00946222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Amal </w:t>
                </w:r>
                <w:r w:rsidR="00F70748" w:rsidRPr="006354BC">
                  <w:rPr>
                    <w:rFonts w:cs="Arial"/>
                    <w:sz w:val="20"/>
                    <w:szCs w:val="20"/>
                  </w:rPr>
                  <w:t>Al-Ghammas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946222">
                  <w:rPr>
                    <w:rFonts w:cs="Arial"/>
                    <w:sz w:val="20"/>
                    <w:szCs w:val="20"/>
                  </w:rPr>
                  <w:t>Ed</w:t>
                </w:r>
                <w:r>
                  <w:rPr>
                    <w:rFonts w:cs="Arial"/>
                    <w:sz w:val="20"/>
                    <w:szCs w:val="20"/>
                  </w:rPr>
                  <w:t xml:space="preserve">itorial Supervisor and </w:t>
                </w:r>
                <w:r w:rsidR="00F70748" w:rsidRPr="00F734D0">
                  <w:rPr>
                    <w:rFonts w:cs="Arial"/>
                    <w:sz w:val="20"/>
                    <w:szCs w:val="20"/>
                  </w:rPr>
                  <w:t>Senior Editorial Assistant</w:t>
                </w:r>
              </w:p>
              <w:p w14:paraId="21EE26C3" w14:textId="73CC7609" w:rsidR="00F70748" w:rsidRPr="00946222" w:rsidRDefault="00946222" w:rsidP="00946222">
                <w:pPr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46222">
                  <w:rPr>
                    <w:rFonts w:cs="Arial"/>
                    <w:sz w:val="20"/>
                    <w:szCs w:val="20"/>
                    <w:lang w:val="en-US"/>
                  </w:rPr>
                  <w:t>Reina Tejano-Berina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="00F70748" w:rsidRPr="00F734D0">
                  <w:rPr>
                    <w:rFonts w:cs="Arial"/>
                    <w:sz w:val="20"/>
                    <w:szCs w:val="20"/>
                  </w:rPr>
                  <w:t>Desktop Publisher</w:t>
                </w:r>
              </w:p>
              <w:p w14:paraId="055C64F6" w14:textId="77777777" w:rsidR="00F70748" w:rsidRPr="006354BC" w:rsidRDefault="00F70748" w:rsidP="00946222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Raquel Glorioso-Rivera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Editorial Assistant</w:t>
                </w:r>
              </w:p>
              <w:p w14:paraId="4499DF4E" w14:textId="77777777" w:rsidR="00946222" w:rsidRDefault="00F70748" w:rsidP="00946222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Kimberly Cristobal</w:t>
                </w:r>
                <w:r>
                  <w:rPr>
                    <w:rFonts w:cs="Arial"/>
                    <w:sz w:val="20"/>
                    <w:szCs w:val="20"/>
                  </w:rPr>
                  <w:t>, Editorial Assistant</w:t>
                </w:r>
              </w:p>
              <w:p w14:paraId="341AE3FD" w14:textId="6FC19DF8" w:rsidR="00946222" w:rsidRPr="00946222" w:rsidRDefault="00946222" w:rsidP="00946222">
                <w:pPr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Janelle Vales</w:t>
                </w:r>
                <w:r w:rsidRPr="00946222">
                  <w:rPr>
                    <w:rFonts w:cs="Arial"/>
                    <w:sz w:val="20"/>
                    <w:szCs w:val="20"/>
                    <w:lang w:val="en-US"/>
                  </w:rPr>
                  <w:t>-Yasay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Editorial Assistant</w:t>
                </w:r>
              </w:p>
              <w:p w14:paraId="46BAA758" w14:textId="5E1886A8" w:rsidR="00F70748" w:rsidRPr="00581F4F" w:rsidRDefault="00B8085B" w:rsidP="00F7074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48849" w14:textId="77777777" w:rsidR="00B8085B" w:rsidRDefault="00B8085B" w:rsidP="00DA3815">
      <w:pPr>
        <w:spacing w:line="240" w:lineRule="auto"/>
      </w:pPr>
      <w:r>
        <w:separator/>
      </w:r>
    </w:p>
  </w:endnote>
  <w:endnote w:type="continuationSeparator" w:id="0">
    <w:p w14:paraId="34ACC3F2" w14:textId="77777777" w:rsidR="00B8085B" w:rsidRDefault="00B8085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087B" w14:textId="77777777" w:rsidR="00B8085B" w:rsidRDefault="00B8085B" w:rsidP="00DA3815">
      <w:pPr>
        <w:spacing w:line="240" w:lineRule="auto"/>
      </w:pPr>
      <w:r>
        <w:separator/>
      </w:r>
    </w:p>
  </w:footnote>
  <w:footnote w:type="continuationSeparator" w:id="0">
    <w:p w14:paraId="4BD4B8C0" w14:textId="77777777" w:rsidR="00B8085B" w:rsidRDefault="00B8085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4A95"/>
    <w:rsid w:val="000D71CC"/>
    <w:rsid w:val="000E06C4"/>
    <w:rsid w:val="000F31F0"/>
    <w:rsid w:val="001244EA"/>
    <w:rsid w:val="00124C6D"/>
    <w:rsid w:val="00125AEE"/>
    <w:rsid w:val="001942D3"/>
    <w:rsid w:val="001A5A79"/>
    <w:rsid w:val="001C31B9"/>
    <w:rsid w:val="001D1B42"/>
    <w:rsid w:val="001E18CF"/>
    <w:rsid w:val="001E7C56"/>
    <w:rsid w:val="0021420B"/>
    <w:rsid w:val="00234577"/>
    <w:rsid w:val="0023755E"/>
    <w:rsid w:val="00274E65"/>
    <w:rsid w:val="00294548"/>
    <w:rsid w:val="00297D61"/>
    <w:rsid w:val="00303D94"/>
    <w:rsid w:val="00321654"/>
    <w:rsid w:val="00327276"/>
    <w:rsid w:val="00334995"/>
    <w:rsid w:val="00334D49"/>
    <w:rsid w:val="00336BBE"/>
    <w:rsid w:val="003378DD"/>
    <w:rsid w:val="0035648C"/>
    <w:rsid w:val="00362771"/>
    <w:rsid w:val="00363BB4"/>
    <w:rsid w:val="0037000B"/>
    <w:rsid w:val="00374354"/>
    <w:rsid w:val="00377B5B"/>
    <w:rsid w:val="00393B29"/>
    <w:rsid w:val="003A7EB5"/>
    <w:rsid w:val="003D4C9D"/>
    <w:rsid w:val="003D63BF"/>
    <w:rsid w:val="004354BE"/>
    <w:rsid w:val="00440AFE"/>
    <w:rsid w:val="004714F0"/>
    <w:rsid w:val="004820D2"/>
    <w:rsid w:val="004910B3"/>
    <w:rsid w:val="0049247B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57C70"/>
    <w:rsid w:val="00570D98"/>
    <w:rsid w:val="00581F4F"/>
    <w:rsid w:val="00597FE0"/>
    <w:rsid w:val="005B426C"/>
    <w:rsid w:val="005E45E9"/>
    <w:rsid w:val="005F78B0"/>
    <w:rsid w:val="00616BAB"/>
    <w:rsid w:val="00637491"/>
    <w:rsid w:val="00642462"/>
    <w:rsid w:val="0065184C"/>
    <w:rsid w:val="00672551"/>
    <w:rsid w:val="006A5686"/>
    <w:rsid w:val="006C269B"/>
    <w:rsid w:val="006C3F74"/>
    <w:rsid w:val="006C5CC5"/>
    <w:rsid w:val="006C7EA4"/>
    <w:rsid w:val="006D2AF3"/>
    <w:rsid w:val="006D63B1"/>
    <w:rsid w:val="007339B0"/>
    <w:rsid w:val="00760950"/>
    <w:rsid w:val="0076391E"/>
    <w:rsid w:val="007C5B94"/>
    <w:rsid w:val="007D68EF"/>
    <w:rsid w:val="0080056A"/>
    <w:rsid w:val="00847F33"/>
    <w:rsid w:val="00863CEC"/>
    <w:rsid w:val="008A3BB1"/>
    <w:rsid w:val="008B786E"/>
    <w:rsid w:val="008E400D"/>
    <w:rsid w:val="008E4B8C"/>
    <w:rsid w:val="008E6640"/>
    <w:rsid w:val="00902833"/>
    <w:rsid w:val="009228A1"/>
    <w:rsid w:val="00923B4A"/>
    <w:rsid w:val="00944197"/>
    <w:rsid w:val="00946222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037F4"/>
    <w:rsid w:val="00A11756"/>
    <w:rsid w:val="00A22B24"/>
    <w:rsid w:val="00A2683F"/>
    <w:rsid w:val="00A51F8E"/>
    <w:rsid w:val="00A70EA8"/>
    <w:rsid w:val="00AE2E61"/>
    <w:rsid w:val="00AF2E89"/>
    <w:rsid w:val="00B236BD"/>
    <w:rsid w:val="00B57125"/>
    <w:rsid w:val="00B67535"/>
    <w:rsid w:val="00B749DB"/>
    <w:rsid w:val="00B8085B"/>
    <w:rsid w:val="00B845E4"/>
    <w:rsid w:val="00BC5A9A"/>
    <w:rsid w:val="00BD5296"/>
    <w:rsid w:val="00BE35DC"/>
    <w:rsid w:val="00BE6482"/>
    <w:rsid w:val="00BE76E4"/>
    <w:rsid w:val="00BF3E2E"/>
    <w:rsid w:val="00BF5A2A"/>
    <w:rsid w:val="00C345DC"/>
    <w:rsid w:val="00C441A9"/>
    <w:rsid w:val="00C7337A"/>
    <w:rsid w:val="00C84A93"/>
    <w:rsid w:val="00C930D1"/>
    <w:rsid w:val="00C94ACA"/>
    <w:rsid w:val="00CA7108"/>
    <w:rsid w:val="00CB144F"/>
    <w:rsid w:val="00CB75A8"/>
    <w:rsid w:val="00CC0AD8"/>
    <w:rsid w:val="00CD0A93"/>
    <w:rsid w:val="00CF3667"/>
    <w:rsid w:val="00CF4492"/>
    <w:rsid w:val="00D1655C"/>
    <w:rsid w:val="00DA3815"/>
    <w:rsid w:val="00DD439D"/>
    <w:rsid w:val="00E23C1B"/>
    <w:rsid w:val="00E53924"/>
    <w:rsid w:val="00E75903"/>
    <w:rsid w:val="00E75B7B"/>
    <w:rsid w:val="00E8754E"/>
    <w:rsid w:val="00EB0D7B"/>
    <w:rsid w:val="00ED38E1"/>
    <w:rsid w:val="00F11F8C"/>
    <w:rsid w:val="00F34060"/>
    <w:rsid w:val="00F3533A"/>
    <w:rsid w:val="00F63B9D"/>
    <w:rsid w:val="00F66496"/>
    <w:rsid w:val="00F70748"/>
    <w:rsid w:val="00F7230A"/>
    <w:rsid w:val="00F74338"/>
    <w:rsid w:val="00FB687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67A16F85-04D4-4AAC-B7C5-2626D9A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DA493FBF3841A08E1E6B29D42A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2FFE-DD84-403B-B81A-F6368CF5BA08}"/>
      </w:docPartPr>
      <w:docPartBody>
        <w:p w:rsidR="00000000" w:rsidRDefault="00A64F28" w:rsidP="00A64F28">
          <w:pPr>
            <w:pStyle w:val="D5DA493FBF3841A08E1E6B29D42AFC3B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0A3694"/>
    <w:rsid w:val="0013145F"/>
    <w:rsid w:val="003352F5"/>
    <w:rsid w:val="003F404A"/>
    <w:rsid w:val="004239F0"/>
    <w:rsid w:val="0044626F"/>
    <w:rsid w:val="004C412D"/>
    <w:rsid w:val="004D6F32"/>
    <w:rsid w:val="00624C0F"/>
    <w:rsid w:val="0076088B"/>
    <w:rsid w:val="007E62B5"/>
    <w:rsid w:val="009C63E1"/>
    <w:rsid w:val="009D7071"/>
    <w:rsid w:val="00A324C5"/>
    <w:rsid w:val="00A64C4C"/>
    <w:rsid w:val="00A64F28"/>
    <w:rsid w:val="00AF04DC"/>
    <w:rsid w:val="00B254DF"/>
    <w:rsid w:val="00BC5EC8"/>
    <w:rsid w:val="00C141CC"/>
    <w:rsid w:val="00C253A4"/>
    <w:rsid w:val="00C465D8"/>
    <w:rsid w:val="00CC3F6B"/>
    <w:rsid w:val="00CC6684"/>
    <w:rsid w:val="00DA62BD"/>
    <w:rsid w:val="00E17380"/>
    <w:rsid w:val="00E355AD"/>
    <w:rsid w:val="00EE58D8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F28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FBAC8EC6DB1F44C19797341A07EDD61D">
    <w:name w:val="FBAC8EC6DB1F44C19797341A07EDD61D"/>
    <w:rsid w:val="0044626F"/>
    <w:rPr>
      <w:lang w:val="en-US" w:eastAsia="en-US"/>
    </w:rPr>
  </w:style>
  <w:style w:type="paragraph" w:customStyle="1" w:styleId="E3AA73528D254948A975376584CBAB8F">
    <w:name w:val="E3AA73528D254948A975376584CBAB8F"/>
    <w:rsid w:val="0044626F"/>
    <w:rPr>
      <w:lang w:val="en-US" w:eastAsia="en-US"/>
    </w:rPr>
  </w:style>
  <w:style w:type="paragraph" w:customStyle="1" w:styleId="D5DA493FBF3841A08E1E6B29D42AFC3B">
    <w:name w:val="D5DA493FBF3841A08E1E6B29D42AFC3B"/>
    <w:rsid w:val="00A64F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8C0B-B920-4573-94B6-E61F437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22</cp:revision>
  <cp:lastPrinted>2017-12-31T20:40:00Z</cp:lastPrinted>
  <dcterms:created xsi:type="dcterms:W3CDTF">2018-02-27T11:02:00Z</dcterms:created>
  <dcterms:modified xsi:type="dcterms:W3CDTF">2018-03-14T06:15:00Z</dcterms:modified>
</cp:coreProperties>
</file>