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27EB7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617B81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617B81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204670BF" w:rsidR="00B749DB" w:rsidRPr="00321654" w:rsidRDefault="00617B81" w:rsidP="00617B81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617B81">
                  <w:rPr>
                    <w:rFonts w:cs="Arial"/>
                    <w:sz w:val="20"/>
                    <w:szCs w:val="20"/>
                  </w:rPr>
                  <w:t>Microsoft's System Center Operations Manager (SCOM)</w:t>
                </w:r>
                <w:r w:rsidR="000259A7" w:rsidRPr="000259A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Implementation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617B8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617B8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617B81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6567B05F" w:rsidR="00B749DB" w:rsidRPr="00321654" w:rsidRDefault="000259A7" w:rsidP="00617B81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459F6D15" w:rsidR="00B749DB" w:rsidRPr="00321654" w:rsidRDefault="00DD3BC5" w:rsidP="00DD3BC5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DD3BC5">
                  <w:rPr>
                    <w:rFonts w:cs="Arial"/>
                    <w:color w:val="000000" w:themeColor="text1"/>
                    <w:sz w:val="20"/>
                  </w:rPr>
                  <w:t>Systems Engineering</w:t>
                </w:r>
              </w:p>
            </w:tc>
          </w:sdtContent>
        </w:sdt>
      </w:tr>
      <w:tr w:rsidR="00B749DB" w:rsidRPr="00CD0A93" w14:paraId="17DF1766" w14:textId="77777777" w:rsidTr="00617B81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617B81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617B8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617B8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617B8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617B81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0125FCFE" w:rsidR="00B749DB" w:rsidRPr="00321654" w:rsidRDefault="00DD3BC5" w:rsidP="00617B81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F5BD481" w:rsidR="00B749DB" w:rsidRPr="00321654" w:rsidRDefault="00DD3BC5" w:rsidP="00617B81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57597161" w:rsidR="00B749DB" w:rsidRPr="00321654" w:rsidRDefault="00617B81" w:rsidP="00617B81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617B81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37C4B03C" w:rsidR="00B749DB" w:rsidRDefault="00B749DB" w:rsidP="00617B81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0FA9B3A2" w14:textId="77777777" w:rsidR="00500640" w:rsidRPr="0037000B" w:rsidRDefault="00500640" w:rsidP="00617B8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</w:sdtPr>
            <w:sdtEndPr/>
            <w:sdtContent>
              <w:p w14:paraId="5E038EF4" w14:textId="299ECCAB" w:rsidR="00617B81" w:rsidRPr="00617B81" w:rsidRDefault="00500640" w:rsidP="00500640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Daily alerts of “Services’ unavailability” has increased up to 55.5%;</w:t>
                </w:r>
                <w:r w:rsidR="00617B81" w:rsidRPr="00617B81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t</w:t>
                </w:r>
                <w:r w:rsidR="00617B81" w:rsidRPr="00617B81">
                  <w:rPr>
                    <w:rFonts w:cs="Arial"/>
                    <w:sz w:val="20"/>
                    <w:szCs w:val="20"/>
                  </w:rPr>
                  <w:t>herefore,</w:t>
                </w:r>
                <w:r>
                  <w:rPr>
                    <w:rFonts w:cs="Arial"/>
                    <w:sz w:val="20"/>
                    <w:szCs w:val="20"/>
                  </w:rPr>
                  <w:t xml:space="preserve"> HITA thought of implementing a</w:t>
                </w:r>
                <w:r w:rsidR="00617B81" w:rsidRPr="00617B81">
                  <w:rPr>
                    <w:rFonts w:cs="Arial"/>
                    <w:sz w:val="20"/>
                    <w:szCs w:val="20"/>
                  </w:rPr>
                  <w:t xml:space="preserve"> new monitoring and alerting system (Microsoft's System Center Operations Manager) </w:t>
                </w:r>
                <w:r>
                  <w:rPr>
                    <w:rFonts w:cs="Arial"/>
                    <w:sz w:val="20"/>
                    <w:szCs w:val="20"/>
                  </w:rPr>
                  <w:t xml:space="preserve">that </w:t>
                </w:r>
                <w:r w:rsidR="00617B81" w:rsidRPr="00617B81">
                  <w:rPr>
                    <w:rFonts w:cs="Arial"/>
                    <w:sz w:val="20"/>
                    <w:szCs w:val="20"/>
                  </w:rPr>
                  <w:t>will provide a proactive involvement in maintaining HITA technical infrastructure</w:t>
                </w:r>
                <w:r w:rsidR="00617B81" w:rsidRPr="003D4494">
                  <w:rPr>
                    <w:rFonts w:cs="Arial"/>
                    <w:color w:val="000000" w:themeColor="text1"/>
                    <w:sz w:val="20"/>
                  </w:rPr>
                  <w:t xml:space="preserve"> systems</w:t>
                </w:r>
                <w:r w:rsidR="004F057A">
                  <w:rPr>
                    <w:rFonts w:cs="Arial"/>
                    <w:color w:val="000000" w:themeColor="text1"/>
                    <w:sz w:val="20"/>
                  </w:rPr>
                  <w:t>;</w:t>
                </w:r>
                <w:r w:rsidR="00617B81" w:rsidRPr="003D4494">
                  <w:rPr>
                    <w:rFonts w:cs="Arial"/>
                    <w:color w:val="000000" w:themeColor="text1"/>
                    <w:sz w:val="20"/>
                  </w:rPr>
                  <w:t xml:space="preserve"> </w:t>
                </w:r>
                <w:r>
                  <w:rPr>
                    <w:rFonts w:cs="Arial"/>
                    <w:color w:val="000000" w:themeColor="text1"/>
                    <w:sz w:val="20"/>
                  </w:rPr>
                  <w:t xml:space="preserve">this will help </w:t>
                </w:r>
                <w:r w:rsidR="00617B81" w:rsidRPr="003D4494">
                  <w:rPr>
                    <w:rFonts w:cs="Arial"/>
                    <w:color w:val="000000" w:themeColor="text1"/>
                    <w:sz w:val="20"/>
                  </w:rPr>
                  <w:t xml:space="preserve">to avoid service interruptions and </w:t>
                </w:r>
                <w:r>
                  <w:rPr>
                    <w:rFonts w:cs="Arial"/>
                    <w:color w:val="000000" w:themeColor="text1"/>
                    <w:sz w:val="20"/>
                  </w:rPr>
                  <w:t xml:space="preserve">to </w:t>
                </w:r>
                <w:r w:rsidR="00617B81" w:rsidRPr="003D4494">
                  <w:rPr>
                    <w:rFonts w:cs="Arial"/>
                    <w:color w:val="000000" w:themeColor="text1"/>
                    <w:sz w:val="20"/>
                  </w:rPr>
                  <w:t>register the server’s performance.</w:t>
                </w:r>
              </w:p>
              <w:p w14:paraId="2D6AA6D7" w14:textId="043FBC53" w:rsidR="00B749DB" w:rsidRPr="00B67535" w:rsidRDefault="00622166" w:rsidP="003D4494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C5D0C6A" w:rsidR="00B749DB" w:rsidRDefault="00B749DB" w:rsidP="00617B81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18B2320D" w14:textId="77777777" w:rsidR="00500640" w:rsidRPr="004910B3" w:rsidRDefault="00500640" w:rsidP="00617B8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E13C1FA" w14:textId="58780752" w:rsidR="000259A7" w:rsidRPr="00617B81" w:rsidRDefault="00617B81" w:rsidP="001D18A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 d</w:t>
            </w:r>
            <w:r w:rsidR="000259A7" w:rsidRPr="00617B81">
              <w:rPr>
                <w:rFonts w:cs="Arial"/>
                <w:color w:val="000000" w:themeColor="text1"/>
                <w:sz w:val="20"/>
                <w:szCs w:val="20"/>
              </w:rPr>
              <w:t>ecrease the number of reported</w:t>
            </w:r>
            <w:r w:rsidR="001D18A9">
              <w:rPr>
                <w:rFonts w:cs="Arial"/>
                <w:color w:val="000000" w:themeColor="text1"/>
                <w:sz w:val="20"/>
                <w:szCs w:val="20"/>
              </w:rPr>
              <w:t xml:space="preserve"> HITA Services’ unavailability</w:t>
            </w:r>
            <w:r w:rsidR="000259A7" w:rsidRPr="00617B81">
              <w:rPr>
                <w:rFonts w:cs="Arial"/>
                <w:color w:val="000000" w:themeColor="text1"/>
                <w:sz w:val="20"/>
                <w:szCs w:val="20"/>
              </w:rPr>
              <w:t xml:space="preserve"> 30% from baseline by September 2017. </w:t>
            </w:r>
          </w:p>
          <w:p w14:paraId="0EF0C16A" w14:textId="77777777" w:rsidR="00B749DB" w:rsidRPr="000259A7" w:rsidRDefault="00B749DB" w:rsidP="000259A7">
            <w:pPr>
              <w:ind w:left="36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617B81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617B81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617B81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622166" w:rsidP="00617B8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1EFF95D7" w:rsidR="00B749DB" w:rsidRPr="0037000B" w:rsidRDefault="00622166" w:rsidP="00617B8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5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AF9AEF9" w:rsidR="00B749DB" w:rsidRPr="0037000B" w:rsidRDefault="00622166" w:rsidP="00617B8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9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015166CC" w:rsidR="00B749DB" w:rsidRPr="0037000B" w:rsidRDefault="00622166" w:rsidP="00617B8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5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1B1F00EF" w:rsidR="00B749DB" w:rsidRPr="0037000B" w:rsidRDefault="00622166" w:rsidP="00617B8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9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622166" w:rsidP="00617B8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617B8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617B81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617B81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617B81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58290E27" w:rsidR="00B749DB" w:rsidRPr="0037000B" w:rsidRDefault="003D4494" w:rsidP="00617B81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617B81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2"/>
      </w:tblGrid>
      <w:tr w:rsidR="00B749DB" w:rsidRPr="00CD0A93" w14:paraId="6BD332CD" w14:textId="77777777" w:rsidTr="00617B81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617B81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617B81">
              <w:tc>
                <w:tcPr>
                  <w:tcW w:w="5143" w:type="dxa"/>
                </w:tcPr>
                <w:p w14:paraId="4A1040C2" w14:textId="77777777" w:rsidR="00B749DB" w:rsidRPr="001942D3" w:rsidRDefault="00B749DB" w:rsidP="00617B81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617B81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617B81">
              <w:tc>
                <w:tcPr>
                  <w:tcW w:w="5143" w:type="dxa"/>
                </w:tcPr>
                <w:p w14:paraId="7CDBDB2D" w14:textId="1A99DB00" w:rsidR="00B749DB" w:rsidRPr="00617B81" w:rsidRDefault="00355489" w:rsidP="00617B81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617B81">
                    <w:rPr>
                      <w:rFonts w:cs="Arial"/>
                      <w:color w:val="000000" w:themeColor="text1"/>
                      <w:sz w:val="20"/>
                    </w:rPr>
                    <w:t>Number of reported HITA Services’ unavailability</w:t>
                  </w:r>
                  <w:r w:rsidR="00617B81">
                    <w:rPr>
                      <w:rFonts w:cs="Arial"/>
                      <w:color w:val="000000" w:themeColor="text1"/>
                      <w:sz w:val="20"/>
                    </w:rPr>
                    <w:t xml:space="preserve"> (%)</w:t>
                  </w:r>
                </w:p>
                <w:p w14:paraId="197447C8" w14:textId="77777777" w:rsidR="00B749DB" w:rsidRDefault="00B749DB" w:rsidP="00617B81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37CC90AA" w14:textId="4381711E" w:rsidR="00355489" w:rsidRPr="00617B81" w:rsidRDefault="001D18A9" w:rsidP="001D18A9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25.5</w:t>
                  </w:r>
                  <w:r w:rsidR="00355489" w:rsidRPr="00617B81">
                    <w:rPr>
                      <w:rFonts w:cs="Arial"/>
                      <w:color w:val="000000" w:themeColor="text1"/>
                      <w:sz w:val="20"/>
                    </w:rPr>
                    <w:t xml:space="preserve">% </w:t>
                  </w:r>
                </w:p>
                <w:p w14:paraId="1CF29601" w14:textId="77777777" w:rsidR="00B749DB" w:rsidRPr="001942D3" w:rsidRDefault="00B749DB" w:rsidP="00355489">
                  <w:pPr>
                    <w:pStyle w:val="ListParagraph"/>
                    <w:ind w:left="305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17D89B86" w14:textId="77777777" w:rsidR="00B749DB" w:rsidRPr="001942D3" w:rsidRDefault="00B749DB" w:rsidP="00617B8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617B81">
        <w:trPr>
          <w:trHeight w:val="89"/>
        </w:trPr>
        <w:tc>
          <w:tcPr>
            <w:tcW w:w="10512" w:type="dxa"/>
          </w:tcPr>
          <w:p w14:paraId="2050DB7C" w14:textId="77777777" w:rsidR="00B749DB" w:rsidRPr="00DD439D" w:rsidRDefault="00B749DB" w:rsidP="00617B81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1327367" w14:textId="77777777" w:rsidR="003D4494" w:rsidRPr="003D4494" w:rsidRDefault="003D4494" w:rsidP="003D4494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cs="Arial"/>
                <w:color w:val="000000" w:themeColor="text1"/>
                <w:sz w:val="20"/>
              </w:rPr>
            </w:pPr>
            <w:r w:rsidRPr="003D4494">
              <w:rPr>
                <w:rFonts w:cs="Arial"/>
                <w:color w:val="000000" w:themeColor="text1"/>
                <w:sz w:val="20"/>
              </w:rPr>
              <w:t xml:space="preserve">Install, setup, configure and commission Microsoft's System Center Operations Manager (SCOM) for the purpose of monitoring HITA technical infrastructure systems such as (servers, switches, and some applications availability …etc.). </w:t>
            </w:r>
          </w:p>
          <w:p w14:paraId="189E6EDC" w14:textId="77777777" w:rsidR="00B749DB" w:rsidRPr="00617B81" w:rsidRDefault="000259A7" w:rsidP="003D4494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cs="Arial"/>
                <w:color w:val="7F7F7F" w:themeColor="text2"/>
                <w:sz w:val="16"/>
              </w:rPr>
            </w:pPr>
            <w:r w:rsidRPr="003D4494">
              <w:rPr>
                <w:rFonts w:cs="Arial"/>
                <w:color w:val="000000" w:themeColor="text1"/>
                <w:sz w:val="20"/>
              </w:rPr>
              <w:t>Building a data warehouse repository for measuring technical infrastructure performance</w:t>
            </w:r>
            <w:r w:rsidR="00617B81">
              <w:rPr>
                <w:rFonts w:cs="Arial"/>
                <w:color w:val="000000" w:themeColor="text1"/>
                <w:sz w:val="20"/>
              </w:rPr>
              <w:t>.</w:t>
            </w:r>
          </w:p>
          <w:p w14:paraId="510BD6CA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4E3BF62C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6D5FDA50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11471139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6E6C6962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5013BED9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208D7A8D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6EA34664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08D05BFF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3C660E3E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323D3ABD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720332CF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7FC11A58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2E1C9895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1A16544A" w14:textId="77777777" w:rsid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  <w:p w14:paraId="5900E502" w14:textId="7F44CDC0" w:rsidR="00617B81" w:rsidRPr="00617B81" w:rsidRDefault="00617B81" w:rsidP="00617B81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330716">
        <w:trPr>
          <w:trHeight w:val="8100"/>
        </w:trPr>
        <w:tc>
          <w:tcPr>
            <w:tcW w:w="10512" w:type="dxa"/>
          </w:tcPr>
          <w:p w14:paraId="4B182767" w14:textId="77777777" w:rsidR="00B749DB" w:rsidRPr="00DD439D" w:rsidRDefault="00B749DB" w:rsidP="00617B81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617B81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4345866" w14:textId="6E5B8E57" w:rsidR="003D4494" w:rsidRDefault="003D4494" w:rsidP="003D4494">
            <w:pPr>
              <w:rPr>
                <w:b/>
              </w:rPr>
            </w:pPr>
          </w:p>
          <w:tbl>
            <w:tblPr>
              <w:tblStyle w:val="LightGrid-Accent4"/>
              <w:tblW w:w="9892" w:type="dxa"/>
              <w:tblLayout w:type="fixed"/>
              <w:tblLook w:val="04A0" w:firstRow="1" w:lastRow="0" w:firstColumn="1" w:lastColumn="0" w:noHBand="0" w:noVBand="1"/>
            </w:tblPr>
            <w:tblGrid>
              <w:gridCol w:w="8180"/>
              <w:gridCol w:w="1712"/>
            </w:tblGrid>
            <w:tr w:rsidR="00617B81" w:rsidRPr="00BC65E9" w14:paraId="2E9D3DFE" w14:textId="77777777" w:rsidTr="004B6F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80" w:type="dxa"/>
                  <w:noWrap/>
                  <w:vAlign w:val="center"/>
                  <w:hideMark/>
                </w:tcPr>
                <w:p w14:paraId="47301ECA" w14:textId="36A1E270" w:rsidR="003D4494" w:rsidRPr="004B6F30" w:rsidRDefault="003D4494" w:rsidP="004B6F30">
                  <w:pPr>
                    <w:rPr>
                      <w:rFonts w:ascii="Arial" w:eastAsia="Times New Roman" w:hAnsi="Arial" w:cs="Arial"/>
                      <w:b w:val="0"/>
                      <w:bCs w:val="0"/>
                      <w:sz w:val="24"/>
                    </w:rPr>
                  </w:pPr>
                  <w:r w:rsidRPr="004B6F30">
                    <w:rPr>
                      <w:rFonts w:ascii="Arial" w:eastAsia="Times New Roman" w:hAnsi="Arial" w:cs="Arial"/>
                      <w:sz w:val="24"/>
                    </w:rPr>
                    <w:t>Average</w:t>
                  </w:r>
                  <w:r w:rsidR="00617B81" w:rsidRPr="004B6F30">
                    <w:rPr>
                      <w:rFonts w:ascii="Arial" w:eastAsia="Times New Roman" w:hAnsi="Arial" w:cs="Arial"/>
                      <w:b w:val="0"/>
                      <w:bCs w:val="0"/>
                      <w:sz w:val="24"/>
                    </w:rPr>
                    <w:t xml:space="preserve"> </w:t>
                  </w:r>
                  <w:r w:rsidR="00617B81" w:rsidRPr="004B6F30">
                    <w:rPr>
                      <w:rFonts w:ascii="Arial" w:hAnsi="Arial" w:cs="Arial"/>
                      <w:sz w:val="24"/>
                    </w:rPr>
                    <w:t xml:space="preserve">number </w:t>
                  </w:r>
                  <w:r w:rsidR="00617B81" w:rsidRPr="004B6F30">
                    <w:rPr>
                      <w:rFonts w:ascii="Arial" w:hAnsi="Arial" w:cs="Arial"/>
                      <w:noProof/>
                      <w:sz w:val="24"/>
                    </w:rPr>
                    <w:t xml:space="preserve">of </w:t>
                  </w:r>
                  <w:r w:rsidR="004B6F30">
                    <w:rPr>
                      <w:rFonts w:ascii="Arial" w:hAnsi="Arial" w:cs="Arial"/>
                      <w:noProof/>
                      <w:sz w:val="24"/>
                    </w:rPr>
                    <w:t>r</w:t>
                  </w:r>
                  <w:r w:rsidR="004B6F30" w:rsidRPr="004B6F30">
                    <w:rPr>
                      <w:rFonts w:ascii="Arial" w:hAnsi="Arial" w:cs="Arial"/>
                      <w:noProof/>
                      <w:sz w:val="24"/>
                    </w:rPr>
                    <w:t xml:space="preserve">eported HITA </w:t>
                  </w:r>
                  <w:r w:rsidR="00617B81" w:rsidRPr="004B6F30">
                    <w:rPr>
                      <w:rFonts w:ascii="Arial" w:hAnsi="Arial" w:cs="Arial"/>
                      <w:sz w:val="24"/>
                    </w:rPr>
                    <w:t>services’ unavailability alerts</w:t>
                  </w:r>
                </w:p>
              </w:tc>
              <w:tc>
                <w:tcPr>
                  <w:tcW w:w="1712" w:type="dxa"/>
                  <w:noWrap/>
                  <w:vAlign w:val="center"/>
                  <w:hideMark/>
                </w:tcPr>
                <w:p w14:paraId="1C1A0E24" w14:textId="77777777" w:rsidR="003D4494" w:rsidRPr="004B6F30" w:rsidRDefault="003D4494" w:rsidP="004B6F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 w:val="0"/>
                      <w:bCs w:val="0"/>
                    </w:rPr>
                  </w:pPr>
                  <w:r w:rsidRPr="004B6F30">
                    <w:rPr>
                      <w:rFonts w:ascii="Arial" w:hAnsi="Arial" w:cs="Arial"/>
                      <w:sz w:val="24"/>
                    </w:rPr>
                    <w:t>Total</w:t>
                  </w:r>
                </w:p>
              </w:tc>
            </w:tr>
            <w:tr w:rsidR="00617B81" w:rsidRPr="00BC65E9" w14:paraId="3A109E25" w14:textId="77777777" w:rsidTr="004B6F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80" w:type="dxa"/>
                  <w:noWrap/>
                  <w:hideMark/>
                </w:tcPr>
                <w:p w14:paraId="615FF49D" w14:textId="3149075F" w:rsidR="003D4494" w:rsidRPr="004B6F30" w:rsidRDefault="003D4494" w:rsidP="004B6F30">
                  <w:pPr>
                    <w:rPr>
                      <w:rFonts w:ascii="Arial" w:eastAsia="Times New Roman" w:hAnsi="Arial" w:cs="Arial"/>
                      <w:b w:val="0"/>
                      <w:bCs w:val="0"/>
                    </w:rPr>
                  </w:pPr>
                  <w:r w:rsidRPr="004B6F30">
                    <w:rPr>
                      <w:rFonts w:ascii="Arial" w:eastAsia="Times New Roman" w:hAnsi="Arial" w:cs="Arial"/>
                      <w:b w:val="0"/>
                    </w:rPr>
                    <w:t xml:space="preserve">Services’ unavailability </w:t>
                  </w:r>
                  <w:r w:rsidR="004B6F30" w:rsidRPr="004B6F30">
                    <w:rPr>
                      <w:rFonts w:ascii="Arial" w:eastAsia="Times New Roman" w:hAnsi="Arial" w:cs="Arial"/>
                      <w:b w:val="0"/>
                    </w:rPr>
                    <w:t>alerts in March</w:t>
                  </w:r>
                  <w:r w:rsidRPr="004B6F30">
                    <w:rPr>
                      <w:rFonts w:ascii="Arial" w:eastAsia="Times New Roman" w:hAnsi="Arial" w:cs="Arial"/>
                      <w:b w:val="0"/>
                    </w:rPr>
                    <w:t xml:space="preserve"> 2017 </w:t>
                  </w:r>
                  <w:r w:rsidRPr="004B6F30">
                    <w:rPr>
                      <w:rFonts w:ascii="Arial" w:eastAsia="Times New Roman" w:hAnsi="Arial" w:cs="Arial"/>
                    </w:rPr>
                    <w:t>(</w:t>
                  </w:r>
                  <w:r w:rsidR="004B6F30">
                    <w:rPr>
                      <w:rFonts w:ascii="Arial" w:eastAsia="Times New Roman" w:hAnsi="Arial" w:cs="Arial"/>
                    </w:rPr>
                    <w:t>S</w:t>
                  </w:r>
                  <w:r w:rsidRPr="004B6F30">
                    <w:rPr>
                      <w:rFonts w:ascii="Arial" w:eastAsia="Times New Roman" w:hAnsi="Arial" w:cs="Arial"/>
                    </w:rPr>
                    <w:t>tart Value)</w:t>
                  </w:r>
                </w:p>
              </w:tc>
              <w:tc>
                <w:tcPr>
                  <w:tcW w:w="1712" w:type="dxa"/>
                  <w:noWrap/>
                  <w:hideMark/>
                </w:tcPr>
                <w:p w14:paraId="393825D8" w14:textId="20173D40" w:rsidR="003D4494" w:rsidRPr="004B6F30" w:rsidRDefault="003D4494" w:rsidP="00617B8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Cs/>
                    </w:rPr>
                  </w:pPr>
                  <w:r w:rsidRPr="004B6F30">
                    <w:rPr>
                      <w:rFonts w:eastAsia="Times New Roman" w:cs="Arial"/>
                      <w:bCs/>
                    </w:rPr>
                    <w:t>55.5</w:t>
                  </w:r>
                  <w:r w:rsidR="004B6F30" w:rsidRPr="004B6F30">
                    <w:rPr>
                      <w:rFonts w:eastAsia="Times New Roman" w:cs="Arial"/>
                      <w:bCs/>
                    </w:rPr>
                    <w:t>%</w:t>
                  </w:r>
                </w:p>
              </w:tc>
            </w:tr>
            <w:tr w:rsidR="00617B81" w:rsidRPr="00BC65E9" w14:paraId="517893EE" w14:textId="77777777" w:rsidTr="004B6F3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80" w:type="dxa"/>
                  <w:noWrap/>
                  <w:hideMark/>
                </w:tcPr>
                <w:p w14:paraId="2A8FC0A4" w14:textId="451F9AC5" w:rsidR="003D4494" w:rsidRPr="004B6F30" w:rsidRDefault="003D4494" w:rsidP="001D18A9">
                  <w:pPr>
                    <w:jc w:val="both"/>
                    <w:rPr>
                      <w:rFonts w:ascii="Arial" w:eastAsia="Times New Roman" w:hAnsi="Arial" w:cs="Arial"/>
                      <w:b w:val="0"/>
                      <w:bCs w:val="0"/>
                    </w:rPr>
                  </w:pPr>
                  <w:r w:rsidRPr="004B6F30">
                    <w:rPr>
                      <w:rFonts w:ascii="Arial" w:eastAsia="Times New Roman" w:hAnsi="Arial" w:cs="Arial"/>
                      <w:b w:val="0"/>
                    </w:rPr>
                    <w:t xml:space="preserve">Services’ unavailability </w:t>
                  </w:r>
                  <w:r w:rsidR="004B6F30" w:rsidRPr="004B6F30">
                    <w:rPr>
                      <w:rFonts w:ascii="Arial" w:eastAsia="Times New Roman" w:hAnsi="Arial" w:cs="Arial"/>
                      <w:b w:val="0"/>
                    </w:rPr>
                    <w:t>alerts in August</w:t>
                  </w:r>
                  <w:r w:rsidRPr="004B6F30">
                    <w:rPr>
                      <w:rFonts w:ascii="Arial" w:eastAsia="Times New Roman" w:hAnsi="Arial" w:cs="Arial"/>
                      <w:b w:val="0"/>
                    </w:rPr>
                    <w:t xml:space="preserve"> 2017 </w:t>
                  </w:r>
                  <w:bookmarkStart w:id="0" w:name="_GoBack"/>
                  <w:bookmarkEnd w:id="0"/>
                </w:p>
              </w:tc>
              <w:tc>
                <w:tcPr>
                  <w:tcW w:w="1712" w:type="dxa"/>
                  <w:noWrap/>
                  <w:hideMark/>
                </w:tcPr>
                <w:p w14:paraId="67DE2D31" w14:textId="36958509" w:rsidR="003D4494" w:rsidRPr="004B6F30" w:rsidRDefault="003D4494" w:rsidP="00617B81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Times New Roman" w:cs="Arial"/>
                      <w:bCs/>
                    </w:rPr>
                  </w:pPr>
                  <w:r w:rsidRPr="004B6F30">
                    <w:rPr>
                      <w:rFonts w:eastAsia="Times New Roman" w:cs="Arial"/>
                      <w:bCs/>
                    </w:rPr>
                    <w:t>23.6</w:t>
                  </w:r>
                  <w:r w:rsidR="004B6F30" w:rsidRPr="004B6F30">
                    <w:rPr>
                      <w:rFonts w:eastAsia="Times New Roman" w:cs="Arial"/>
                      <w:bCs/>
                    </w:rPr>
                    <w:t>%</w:t>
                  </w:r>
                </w:p>
              </w:tc>
            </w:tr>
            <w:tr w:rsidR="00617B81" w:rsidRPr="00BC65E9" w14:paraId="27FAE9F3" w14:textId="77777777" w:rsidTr="004B6F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80" w:type="dxa"/>
                  <w:noWrap/>
                  <w:hideMark/>
                </w:tcPr>
                <w:p w14:paraId="19CFF737" w14:textId="14DDE7ED" w:rsidR="003D4494" w:rsidRPr="004B6F30" w:rsidRDefault="004B6F30" w:rsidP="00617B81">
                  <w:pPr>
                    <w:rPr>
                      <w:rFonts w:ascii="Arial" w:eastAsia="Times New Roman" w:hAnsi="Arial" w:cs="Arial"/>
                      <w:b w:val="0"/>
                      <w:bCs w:val="0"/>
                    </w:rPr>
                  </w:pPr>
                  <w:r w:rsidRPr="004B6F30">
                    <w:rPr>
                      <w:rFonts w:ascii="Arial" w:eastAsia="Times New Roman" w:hAnsi="Arial" w:cs="Arial"/>
                      <w:b w:val="0"/>
                    </w:rPr>
                    <w:t xml:space="preserve">Percentage </w:t>
                  </w:r>
                  <w:r w:rsidR="003D4494" w:rsidRPr="004B6F30">
                    <w:rPr>
                      <w:rFonts w:ascii="Arial" w:eastAsia="Times New Roman" w:hAnsi="Arial" w:cs="Arial"/>
                      <w:b w:val="0"/>
                    </w:rPr>
                    <w:t>of improvement in services’ unavailability alerts</w:t>
                  </w:r>
                </w:p>
              </w:tc>
              <w:tc>
                <w:tcPr>
                  <w:tcW w:w="1712" w:type="dxa"/>
                  <w:noWrap/>
                  <w:hideMark/>
                </w:tcPr>
                <w:p w14:paraId="5A4BC615" w14:textId="11D8CC3A" w:rsidR="003D4494" w:rsidRPr="004B6F30" w:rsidRDefault="001D18A9" w:rsidP="001D18A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3366FF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66FF"/>
                    </w:rPr>
                    <w:t>31.9</w:t>
                  </w:r>
                  <w:r w:rsidR="003D4494" w:rsidRPr="004B6F30">
                    <w:rPr>
                      <w:rFonts w:eastAsia="Times New Roman" w:cs="Arial"/>
                      <w:b/>
                      <w:bCs/>
                      <w:color w:val="3366FF"/>
                    </w:rPr>
                    <w:t>%</w:t>
                  </w:r>
                </w:p>
              </w:tc>
            </w:tr>
          </w:tbl>
          <w:p w14:paraId="635F8075" w14:textId="77777777" w:rsidR="003D4494" w:rsidRDefault="003D4494" w:rsidP="003D4494">
            <w:pPr>
              <w:rPr>
                <w:rFonts w:cs="Arial"/>
                <w:color w:val="000000" w:themeColor="text1"/>
                <w:sz w:val="20"/>
              </w:rPr>
            </w:pPr>
          </w:p>
          <w:p w14:paraId="1177710A" w14:textId="61691D2A" w:rsidR="00617B81" w:rsidRPr="003D4494" w:rsidRDefault="00330716" w:rsidP="003D4494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90CC39" wp14:editId="23A09BD8">
                  <wp:extent cx="6286409" cy="3050721"/>
                  <wp:effectExtent l="0" t="0" r="635" b="1651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D929B85" w14:textId="42160275" w:rsidR="00B749DB" w:rsidRPr="00274E65" w:rsidRDefault="00B749DB" w:rsidP="00FC1A06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617B8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617B8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617B81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617B8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617B8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Pr="00400AAA" w:rsidRDefault="00B749DB" w:rsidP="00617B81">
            <w:pPr>
              <w:rPr>
                <w:rFonts w:cs="Arial"/>
                <w:b/>
                <w:color w:val="000000" w:themeColor="text1"/>
                <w:sz w:val="20"/>
                <w:highlight w:val="yellow"/>
              </w:rPr>
            </w:pPr>
            <w:r w:rsidRPr="00400AAA">
              <w:rPr>
                <w:rFonts w:cs="Arial"/>
                <w:b/>
                <w:color w:val="000000" w:themeColor="text1"/>
                <w:sz w:val="20"/>
                <w:highlight w:val="yellow"/>
              </w:rPr>
              <w:t>Names</w:t>
            </w:r>
          </w:p>
          <w:p w14:paraId="09028824" w14:textId="77777777" w:rsidR="00B749DB" w:rsidRPr="00400AAA" w:rsidRDefault="00B749DB" w:rsidP="00617B81">
            <w:pPr>
              <w:rPr>
                <w:rFonts w:cs="Arial"/>
                <w:color w:val="00A3E4" w:themeColor="accent2"/>
                <w:sz w:val="20"/>
                <w:highlight w:val="yellow"/>
              </w:rPr>
            </w:pPr>
            <w:r w:rsidRPr="00400AAA">
              <w:rPr>
                <w:rFonts w:cs="Arial"/>
                <w:i/>
                <w:color w:val="7F7F7F" w:themeColor="text2"/>
                <w:sz w:val="16"/>
                <w:highlight w:val="yellow"/>
              </w:rPr>
              <w:t>(persons involved in project)</w:t>
            </w:r>
          </w:p>
        </w:tc>
      </w:tr>
      <w:tr w:rsidR="00BF5A2A" w:rsidRPr="00DD439D" w14:paraId="01B2C299" w14:textId="77777777" w:rsidTr="00617B81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186C9989" w:rsidR="00BF5A2A" w:rsidRPr="00DD439D" w:rsidRDefault="00DD3BC5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DD3BC5">
                  <w:rPr>
                    <w:rFonts w:cs="Arial"/>
                    <w:sz w:val="20"/>
                    <w:szCs w:val="20"/>
                  </w:rPr>
                  <w:t>Hassan Abo Nofal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alias w:val="Project Members"/>
            <w:tag w:val="Project Members"/>
            <w:id w:val="-1661838756"/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highlight w:val="yellow"/>
                </w:rPr>
                <w:alias w:val="Project Leader"/>
                <w:tag w:val="Project Leader"/>
                <w:id w:val="1440867054"/>
                <w:text w:multiLine="1"/>
              </w:sdtPr>
              <w:sdtEndPr>
                <w:rPr>
                  <w:rFonts w:asciiTheme="minorBidi" w:hAnsiTheme="minorBidi" w:cstheme="minorBidi"/>
                  <w:highlight w:val="none"/>
                </w:rPr>
              </w:sdtEndPr>
              <w:sdtContent>
                <w:tc>
                  <w:tcPr>
                    <w:tcW w:w="53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6BAA758" w14:textId="3F9326F9" w:rsidR="00BF5A2A" w:rsidRPr="00400AAA" w:rsidRDefault="00990725" w:rsidP="00990725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</w:pPr>
                    <w:r w:rsidRPr="00990725">
                      <w:rPr>
                        <w:rFonts w:asciiTheme="minorBidi" w:hAnsiTheme="minorBidi"/>
                        <w:sz w:val="20"/>
                        <w:szCs w:val="20"/>
                      </w:rPr>
                      <w:t xml:space="preserve">Faizuddin Khaja </w:t>
                    </w:r>
                    <w:r w:rsidRPr="00990725">
                      <w:rPr>
                        <w:rFonts w:asciiTheme="minorBidi" w:hAnsiTheme="minorBidi"/>
                        <w:sz w:val="20"/>
                        <w:szCs w:val="20"/>
                      </w:rPr>
                      <w:br/>
                      <w:t xml:space="preserve">Ratheesh Krishnan </w:t>
                    </w:r>
                    <w:r w:rsidRPr="00990725">
                      <w:rPr>
                        <w:rFonts w:asciiTheme="minorBidi" w:hAnsiTheme="minorBidi"/>
                        <w:sz w:val="20"/>
                        <w:szCs w:val="20"/>
                      </w:rPr>
                      <w:br/>
                      <w:t xml:space="preserve">Waleed AlGoblan </w:t>
                    </w:r>
                    <w:r w:rsidRPr="00990725">
                      <w:rPr>
                        <w:rFonts w:asciiTheme="minorBidi" w:hAnsiTheme="minorBidi"/>
                        <w:sz w:val="20"/>
                        <w:szCs w:val="20"/>
                      </w:rPr>
                      <w:br/>
                      <w:t xml:space="preserve">Meshari AlAbdulkarim </w:t>
                    </w:r>
                    <w:r w:rsidRPr="00990725">
                      <w:rPr>
                        <w:rFonts w:asciiTheme="minorBidi" w:hAnsiTheme="minorBidi"/>
                        <w:sz w:val="20"/>
                        <w:szCs w:val="20"/>
                      </w:rPr>
                      <w:br/>
                      <w:t xml:space="preserve">Suhail Tabakh </w:t>
                    </w:r>
                    <w:r w:rsidRPr="00990725">
                      <w:rPr>
                        <w:rFonts w:asciiTheme="minorBidi" w:hAnsiTheme="minorBidi"/>
                        <w:sz w:val="20"/>
                        <w:szCs w:val="20"/>
                      </w:rPr>
                      <w:br/>
                      <w:t xml:space="preserve">Abdulmohsen AlQahtani </w:t>
                    </w:r>
                    <w:r w:rsidRPr="00990725">
                      <w:rPr>
                        <w:rFonts w:asciiTheme="minorBidi" w:hAnsiTheme="minorBidi"/>
                        <w:sz w:val="20"/>
                        <w:szCs w:val="20"/>
                      </w:rPr>
                      <w:br/>
                      <w:t xml:space="preserve">Malik, Abdul </w:t>
                    </w:r>
                    <w:r w:rsidRPr="00990725">
                      <w:rPr>
                        <w:rFonts w:asciiTheme="minorBidi" w:hAnsiTheme="minorBidi"/>
                        <w:sz w:val="20"/>
                        <w:szCs w:val="20"/>
                      </w:rPr>
                      <w:br/>
                      <w:t>Syed Hafeez Ahmed</w:t>
                    </w:r>
                    <w:r w:rsidRPr="00990725">
                      <w:rPr>
                        <w:rFonts w:asciiTheme="minorBidi" w:hAnsiTheme="minorBidi"/>
                        <w:sz w:val="20"/>
                        <w:szCs w:val="20"/>
                      </w:rPr>
                      <w:br/>
                      <w:t>Abdulrahman AlFozan</w:t>
                    </w:r>
                    <w:r>
                      <w:rPr>
                        <w:rFonts w:asciiTheme="minorBidi" w:hAnsiTheme="minorBidi"/>
                        <w:sz w:val="20"/>
                        <w:szCs w:val="20"/>
                      </w:rPr>
                      <w:br/>
                    </w:r>
                    <w:r w:rsidRPr="00990725">
                      <w:rPr>
                        <w:rFonts w:asciiTheme="minorBidi" w:hAnsiTheme="minorBidi"/>
                        <w:sz w:val="20"/>
                        <w:szCs w:val="20"/>
                      </w:rPr>
                      <w:t>Hussam AlTarif</w:t>
                    </w:r>
                  </w:p>
                </w:tc>
              </w:sdtContent>
            </w:sdt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2759B" w14:textId="77777777" w:rsidR="00622166" w:rsidRDefault="00622166" w:rsidP="00DA3815">
      <w:pPr>
        <w:spacing w:line="240" w:lineRule="auto"/>
      </w:pPr>
      <w:r>
        <w:separator/>
      </w:r>
    </w:p>
  </w:endnote>
  <w:endnote w:type="continuationSeparator" w:id="0">
    <w:p w14:paraId="003C2A3A" w14:textId="77777777" w:rsidR="00622166" w:rsidRDefault="00622166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Gill Sans MT Condensed">
    <w:altName w:val="Gill Sans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5DF0" w14:textId="77777777" w:rsidR="00622166" w:rsidRDefault="00622166" w:rsidP="00DA3815">
      <w:pPr>
        <w:spacing w:line="240" w:lineRule="auto"/>
      </w:pPr>
      <w:r>
        <w:separator/>
      </w:r>
    </w:p>
  </w:footnote>
  <w:footnote w:type="continuationSeparator" w:id="0">
    <w:p w14:paraId="23F537BC" w14:textId="77777777" w:rsidR="00622166" w:rsidRDefault="00622166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DB865706"/>
    <w:lvl w:ilvl="0" w:tplc="010A2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259A7"/>
    <w:rsid w:val="00076024"/>
    <w:rsid w:val="0008253B"/>
    <w:rsid w:val="00097EAF"/>
    <w:rsid w:val="000D36A9"/>
    <w:rsid w:val="000D71CC"/>
    <w:rsid w:val="000E06C4"/>
    <w:rsid w:val="000F31F0"/>
    <w:rsid w:val="001244EA"/>
    <w:rsid w:val="00125AEE"/>
    <w:rsid w:val="001468EA"/>
    <w:rsid w:val="001822D1"/>
    <w:rsid w:val="001942D3"/>
    <w:rsid w:val="001C31B9"/>
    <w:rsid w:val="001C72A3"/>
    <w:rsid w:val="001D18A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30716"/>
    <w:rsid w:val="00355489"/>
    <w:rsid w:val="0035648C"/>
    <w:rsid w:val="00362771"/>
    <w:rsid w:val="00363BB4"/>
    <w:rsid w:val="0037000B"/>
    <w:rsid w:val="00374354"/>
    <w:rsid w:val="00377B5B"/>
    <w:rsid w:val="00392A05"/>
    <w:rsid w:val="003D4494"/>
    <w:rsid w:val="003D4C9D"/>
    <w:rsid w:val="00400AAA"/>
    <w:rsid w:val="004354BE"/>
    <w:rsid w:val="00440AFE"/>
    <w:rsid w:val="004714F0"/>
    <w:rsid w:val="004910B3"/>
    <w:rsid w:val="00493ED8"/>
    <w:rsid w:val="004B6F30"/>
    <w:rsid w:val="004D2577"/>
    <w:rsid w:val="004F057A"/>
    <w:rsid w:val="00500640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17B81"/>
    <w:rsid w:val="00622166"/>
    <w:rsid w:val="00642462"/>
    <w:rsid w:val="0065184C"/>
    <w:rsid w:val="006C3F74"/>
    <w:rsid w:val="006C4BDE"/>
    <w:rsid w:val="006C5CC5"/>
    <w:rsid w:val="006D63B1"/>
    <w:rsid w:val="006F6F4D"/>
    <w:rsid w:val="00760950"/>
    <w:rsid w:val="0076391E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90725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1ED4"/>
    <w:rsid w:val="00D1655C"/>
    <w:rsid w:val="00DA3815"/>
    <w:rsid w:val="00DD3BC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C1A0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docId w15:val="{0DC53F78-643A-478A-A429-CE72F43B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table" w:styleId="LightList-Accent4">
    <w:name w:val="Light List Accent 4"/>
    <w:basedOn w:val="TableNormal"/>
    <w:uiPriority w:val="61"/>
    <w:rsid w:val="00617B81"/>
    <w:pPr>
      <w:spacing w:line="240" w:lineRule="auto"/>
    </w:pPr>
    <w:tblPr>
      <w:tblStyleRowBandSize w:val="1"/>
      <w:tblStyleColBandSize w:val="1"/>
      <w:tblBorders>
        <w:top w:val="single" w:sz="8" w:space="0" w:color="AA1D37" w:themeColor="accent4"/>
        <w:left w:val="single" w:sz="8" w:space="0" w:color="AA1D37" w:themeColor="accent4"/>
        <w:bottom w:val="single" w:sz="8" w:space="0" w:color="AA1D37" w:themeColor="accent4"/>
        <w:right w:val="single" w:sz="8" w:space="0" w:color="AA1D3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1D3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1D37" w:themeColor="accent4"/>
          <w:left w:val="single" w:sz="8" w:space="0" w:color="AA1D37" w:themeColor="accent4"/>
          <w:bottom w:val="single" w:sz="8" w:space="0" w:color="AA1D37" w:themeColor="accent4"/>
          <w:right w:val="single" w:sz="8" w:space="0" w:color="AA1D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1D37" w:themeColor="accent4"/>
          <w:left w:val="single" w:sz="8" w:space="0" w:color="AA1D37" w:themeColor="accent4"/>
          <w:bottom w:val="single" w:sz="8" w:space="0" w:color="AA1D37" w:themeColor="accent4"/>
          <w:right w:val="single" w:sz="8" w:space="0" w:color="AA1D37" w:themeColor="accent4"/>
        </w:tcBorders>
      </w:tcPr>
    </w:tblStylePr>
    <w:tblStylePr w:type="band1Horz">
      <w:tblPr/>
      <w:tcPr>
        <w:tcBorders>
          <w:top w:val="single" w:sz="8" w:space="0" w:color="AA1D37" w:themeColor="accent4"/>
          <w:left w:val="single" w:sz="8" w:space="0" w:color="AA1D37" w:themeColor="accent4"/>
          <w:bottom w:val="single" w:sz="8" w:space="0" w:color="AA1D37" w:themeColor="accent4"/>
          <w:right w:val="single" w:sz="8" w:space="0" w:color="AA1D37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617B81"/>
    <w:pPr>
      <w:spacing w:line="240" w:lineRule="auto"/>
    </w:pPr>
    <w:tblPr>
      <w:tblStyleRowBandSize w:val="1"/>
      <w:tblStyleColBandSize w:val="1"/>
      <w:tblBorders>
        <w:top w:val="single" w:sz="8" w:space="0" w:color="AA1D37" w:themeColor="accent4"/>
        <w:left w:val="single" w:sz="8" w:space="0" w:color="AA1D37" w:themeColor="accent4"/>
        <w:bottom w:val="single" w:sz="8" w:space="0" w:color="AA1D37" w:themeColor="accent4"/>
        <w:right w:val="single" w:sz="8" w:space="0" w:color="AA1D37" w:themeColor="accent4"/>
        <w:insideH w:val="single" w:sz="8" w:space="0" w:color="AA1D37" w:themeColor="accent4"/>
        <w:insideV w:val="single" w:sz="8" w:space="0" w:color="AA1D3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1D37" w:themeColor="accent4"/>
          <w:left w:val="single" w:sz="8" w:space="0" w:color="AA1D37" w:themeColor="accent4"/>
          <w:bottom w:val="single" w:sz="18" w:space="0" w:color="AA1D37" w:themeColor="accent4"/>
          <w:right w:val="single" w:sz="8" w:space="0" w:color="AA1D37" w:themeColor="accent4"/>
          <w:insideH w:val="nil"/>
          <w:insideV w:val="single" w:sz="8" w:space="0" w:color="AA1D3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1D37" w:themeColor="accent4"/>
          <w:left w:val="single" w:sz="8" w:space="0" w:color="AA1D37" w:themeColor="accent4"/>
          <w:bottom w:val="single" w:sz="8" w:space="0" w:color="AA1D37" w:themeColor="accent4"/>
          <w:right w:val="single" w:sz="8" w:space="0" w:color="AA1D37" w:themeColor="accent4"/>
          <w:insideH w:val="nil"/>
          <w:insideV w:val="single" w:sz="8" w:space="0" w:color="AA1D3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1D37" w:themeColor="accent4"/>
          <w:left w:val="single" w:sz="8" w:space="0" w:color="AA1D37" w:themeColor="accent4"/>
          <w:bottom w:val="single" w:sz="8" w:space="0" w:color="AA1D37" w:themeColor="accent4"/>
          <w:right w:val="single" w:sz="8" w:space="0" w:color="AA1D37" w:themeColor="accent4"/>
        </w:tcBorders>
      </w:tcPr>
    </w:tblStylePr>
    <w:tblStylePr w:type="band1Vert">
      <w:tblPr/>
      <w:tcPr>
        <w:tcBorders>
          <w:top w:val="single" w:sz="8" w:space="0" w:color="AA1D37" w:themeColor="accent4"/>
          <w:left w:val="single" w:sz="8" w:space="0" w:color="AA1D37" w:themeColor="accent4"/>
          <w:bottom w:val="single" w:sz="8" w:space="0" w:color="AA1D37" w:themeColor="accent4"/>
          <w:right w:val="single" w:sz="8" w:space="0" w:color="AA1D37" w:themeColor="accent4"/>
        </w:tcBorders>
        <w:shd w:val="clear" w:color="auto" w:fill="F3BDC7" w:themeFill="accent4" w:themeFillTint="3F"/>
      </w:tcPr>
    </w:tblStylePr>
    <w:tblStylePr w:type="band1Horz">
      <w:tblPr/>
      <w:tcPr>
        <w:tcBorders>
          <w:top w:val="single" w:sz="8" w:space="0" w:color="AA1D37" w:themeColor="accent4"/>
          <w:left w:val="single" w:sz="8" w:space="0" w:color="AA1D37" w:themeColor="accent4"/>
          <w:bottom w:val="single" w:sz="8" w:space="0" w:color="AA1D37" w:themeColor="accent4"/>
          <w:right w:val="single" w:sz="8" w:space="0" w:color="AA1D37" w:themeColor="accent4"/>
          <w:insideV w:val="single" w:sz="8" w:space="0" w:color="AA1D37" w:themeColor="accent4"/>
        </w:tcBorders>
        <w:shd w:val="clear" w:color="auto" w:fill="F3BDC7" w:themeFill="accent4" w:themeFillTint="3F"/>
      </w:tcPr>
    </w:tblStylePr>
    <w:tblStylePr w:type="band2Horz">
      <w:tblPr/>
      <w:tcPr>
        <w:tcBorders>
          <w:top w:val="single" w:sz="8" w:space="0" w:color="AA1D37" w:themeColor="accent4"/>
          <w:left w:val="single" w:sz="8" w:space="0" w:color="AA1D37" w:themeColor="accent4"/>
          <w:bottom w:val="single" w:sz="8" w:space="0" w:color="AA1D37" w:themeColor="accent4"/>
          <w:right w:val="single" w:sz="8" w:space="0" w:color="AA1D37" w:themeColor="accent4"/>
          <w:insideV w:val="single" w:sz="8" w:space="0" w:color="AA1D37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617B8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D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1D3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1D3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1D3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1D3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A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A8E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617B81"/>
    <w:pPr>
      <w:spacing w:line="240" w:lineRule="auto"/>
    </w:pPr>
    <w:tblPr>
      <w:tblStyleRowBandSize w:val="1"/>
      <w:tblStyleColBandSize w:val="1"/>
      <w:tblBorders>
        <w:top w:val="single" w:sz="8" w:space="0" w:color="DD3756" w:themeColor="accent4" w:themeTint="BF"/>
        <w:left w:val="single" w:sz="8" w:space="0" w:color="DD3756" w:themeColor="accent4" w:themeTint="BF"/>
        <w:bottom w:val="single" w:sz="8" w:space="0" w:color="DD3756" w:themeColor="accent4" w:themeTint="BF"/>
        <w:right w:val="single" w:sz="8" w:space="0" w:color="DD3756" w:themeColor="accent4" w:themeTint="BF"/>
        <w:insideH w:val="single" w:sz="8" w:space="0" w:color="DD37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756" w:themeColor="accent4" w:themeTint="BF"/>
          <w:left w:val="single" w:sz="8" w:space="0" w:color="DD3756" w:themeColor="accent4" w:themeTint="BF"/>
          <w:bottom w:val="single" w:sz="8" w:space="0" w:color="DD3756" w:themeColor="accent4" w:themeTint="BF"/>
          <w:right w:val="single" w:sz="8" w:space="0" w:color="DD3756" w:themeColor="accent4" w:themeTint="BF"/>
          <w:insideH w:val="nil"/>
          <w:insideV w:val="nil"/>
        </w:tcBorders>
        <w:shd w:val="clear" w:color="auto" w:fill="AA1D3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756" w:themeColor="accent4" w:themeTint="BF"/>
          <w:left w:val="single" w:sz="8" w:space="0" w:color="DD3756" w:themeColor="accent4" w:themeTint="BF"/>
          <w:bottom w:val="single" w:sz="8" w:space="0" w:color="DD3756" w:themeColor="accent4" w:themeTint="BF"/>
          <w:right w:val="single" w:sz="8" w:space="0" w:color="DD37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D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17B8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617B81"/>
    <w:pPr>
      <w:spacing w:line="240" w:lineRule="auto"/>
    </w:pPr>
    <w:rPr>
      <w:color w:val="7F1529" w:themeColor="accent4" w:themeShade="BF"/>
    </w:rPr>
    <w:tblPr>
      <w:tblStyleRowBandSize w:val="1"/>
      <w:tblStyleColBandSize w:val="1"/>
      <w:tblBorders>
        <w:top w:val="single" w:sz="8" w:space="0" w:color="AA1D37" w:themeColor="accent4"/>
        <w:bottom w:val="single" w:sz="8" w:space="0" w:color="AA1D3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1D37" w:themeColor="accent4"/>
          <w:left w:val="nil"/>
          <w:bottom w:val="single" w:sz="8" w:space="0" w:color="AA1D3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1D37" w:themeColor="accent4"/>
          <w:left w:val="nil"/>
          <w:bottom w:val="single" w:sz="8" w:space="0" w:color="AA1D3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D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DC7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USB%20DISK:Work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Comparing Number of Reported HITA Services’ unavailability Alerts from (March-August) 2017</a:t>
            </a:r>
          </a:p>
        </c:rich>
      </c:tx>
      <c:layout>
        <c:manualLayout>
          <c:xMode val="edge"/>
          <c:yMode val="edge"/>
          <c:x val="0.14679586659910801"/>
          <c:y val="2.91423813488758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0784370965650698E-2"/>
          <c:y val="0.23979983871707999"/>
          <c:w val="0.89486872530670003"/>
          <c:h val="0.6470444577025710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AAB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1-8D2E-439B-A4BC-B70E14FCFEE1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 sz="1100" b="1"/>
                      <a:t>23.6%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2E-439B-A4BC-B70E14FCFE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Sheet1!$B$52:$D$53</c:f>
              <c:strCache>
                <c:ptCount val="2"/>
                <c:pt idx="0">
                  <c:v>Mar-17</c:v>
                </c:pt>
                <c:pt idx="1">
                  <c:v>Aug-17</c:v>
                </c:pt>
              </c:strCache>
            </c:strRef>
          </c:cat>
          <c:val>
            <c:numRef>
              <c:f>Sheet1!$B$54:$C$54</c:f>
              <c:numCache>
                <c:formatCode>0.00%</c:formatCode>
                <c:ptCount val="2"/>
                <c:pt idx="0" formatCode="0.0%">
                  <c:v>0.55500000000000005</c:v>
                </c:pt>
                <c:pt idx="1">
                  <c:v>0.23599999999999999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2E-439B-A4BC-B70E14FCFE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134819816"/>
        <c:axId val="-2101923912"/>
      </c:barChart>
      <c:catAx>
        <c:axId val="2134819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-2101923912"/>
        <c:crosses val="autoZero"/>
        <c:auto val="1"/>
        <c:lblAlgn val="ctr"/>
        <c:lblOffset val="100"/>
        <c:noMultiLvlLbl val="0"/>
      </c:catAx>
      <c:valAx>
        <c:axId val="-2101923912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2134819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0.41996</cdr:x>
      <cdr:y>0.28815</cdr:y>
    </cdr:from>
    <cdr:to>
      <cdr:x>0.71089</cdr:x>
      <cdr:y>0.62537</cdr:y>
    </cdr:to>
    <cdr:cxnSp macro="">
      <cdr:nvCxnSpPr>
        <cdr:cNvPr id="3" name="Straight Arrow Connector 2"/>
        <cdr:cNvCxnSpPr/>
      </cdr:nvCxnSpPr>
      <cdr:spPr>
        <a:xfrm xmlns:a="http://schemas.openxmlformats.org/drawingml/2006/main">
          <a:off x="2639786" y="879021"/>
          <a:ext cx="1828800" cy="1028700"/>
        </a:xfrm>
        <a:prstGeom xmlns:a="http://schemas.openxmlformats.org/drawingml/2006/main" prst="straightConnector1">
          <a:avLst/>
        </a:prstGeom>
        <a:ln xmlns:a="http://schemas.openxmlformats.org/drawingml/2006/main" w="28575" cmpd="sng">
          <a:tailEnd type="arrow"/>
        </a:ln>
      </cdr:spPr>
      <cdr:style>
        <a:lnRef xmlns:a="http://schemas.openxmlformats.org/drawingml/2006/main" idx="3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0.44314</cdr:x>
      <cdr:y>0.37473</cdr:y>
    </cdr:from>
    <cdr:to>
      <cdr:x>0.71589</cdr:x>
      <cdr:y>0.56208</cdr:y>
    </cdr:to>
    <cdr:sp macro="" textlink="">
      <cdr:nvSpPr>
        <cdr:cNvPr id="7" name="Text Box 6"/>
        <cdr:cNvSpPr txBox="1"/>
      </cdr:nvSpPr>
      <cdr:spPr>
        <a:xfrm xmlns:a="http://schemas.openxmlformats.org/drawingml/2006/main" rot="1732393">
          <a:off x="2785502" y="1143142"/>
          <a:ext cx="17145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solidFill>
                <a:schemeClr val="accent6">
                  <a:lumMod val="75000"/>
                </a:schemeClr>
              </a:solidFill>
            </a:rPr>
            <a:t>Decreased by</a:t>
          </a:r>
          <a:r>
            <a:rPr lang="en-US" sz="1200" b="1" baseline="0">
              <a:solidFill>
                <a:schemeClr val="accent6">
                  <a:lumMod val="75000"/>
                </a:schemeClr>
              </a:solidFill>
            </a:rPr>
            <a:t> 31.9%</a:t>
          </a:r>
          <a:endParaRPr lang="en-US" sz="1200" b="1">
            <a:solidFill>
              <a:schemeClr val="accent6">
                <a:lumMod val="75000"/>
              </a:schemeClr>
            </a:solidFill>
          </a:endParaRP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Gill Sans MT Condensed">
    <w:altName w:val="Gill Sans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2C1009"/>
    <w:rsid w:val="004C412D"/>
    <w:rsid w:val="00700167"/>
    <w:rsid w:val="007E62B5"/>
    <w:rsid w:val="009C63E1"/>
    <w:rsid w:val="00B254DF"/>
    <w:rsid w:val="00BC5EC8"/>
    <w:rsid w:val="00C14567"/>
    <w:rsid w:val="00C253A4"/>
    <w:rsid w:val="00CC3F6B"/>
    <w:rsid w:val="00CC6684"/>
    <w:rsid w:val="00CD00E1"/>
    <w:rsid w:val="00E17380"/>
    <w:rsid w:val="00E54CC9"/>
    <w:rsid w:val="00EF4C03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1CD1-592A-4F84-A97A-48C1DA01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18</cp:revision>
  <cp:lastPrinted>2017-12-31T20:40:00Z</cp:lastPrinted>
  <dcterms:created xsi:type="dcterms:W3CDTF">2018-01-09T14:15:00Z</dcterms:created>
  <dcterms:modified xsi:type="dcterms:W3CDTF">2018-03-25T05:23:00Z</dcterms:modified>
</cp:coreProperties>
</file>