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4AD2CDF6" w14:textId="263D28EA" w:rsidR="007623C1" w:rsidRPr="00AF0D42" w:rsidRDefault="007623C1" w:rsidP="00C640B4">
                <w:pPr>
                  <w:rPr>
                    <w:rFonts w:asciiTheme="minorBidi" w:hAnsiTheme="minorBidi"/>
                    <w:sz w:val="20"/>
                    <w:szCs w:val="20"/>
                  </w:rPr>
                </w:pPr>
                <w:r w:rsidRPr="00AF0D42">
                  <w:rPr>
                    <w:rFonts w:asciiTheme="minorBidi" w:hAnsiTheme="minorBidi"/>
                    <w:sz w:val="20"/>
                    <w:szCs w:val="20"/>
                  </w:rPr>
                  <w:t>PBX</w:t>
                </w:r>
                <w:r>
                  <w:rPr>
                    <w:rFonts w:asciiTheme="minorBidi" w:hAnsiTheme="minorBidi"/>
                    <w:sz w:val="20"/>
                    <w:szCs w:val="20"/>
                  </w:rPr>
                  <w:t xml:space="preserve"> </w:t>
                </w:r>
                <w:r w:rsidR="00BD0FF6" w:rsidRPr="00AF0D42">
                  <w:rPr>
                    <w:rFonts w:asciiTheme="minorBidi" w:hAnsiTheme="minorBidi"/>
                    <w:sz w:val="20"/>
                    <w:szCs w:val="20"/>
                  </w:rPr>
                  <w:t xml:space="preserve">Abandoned </w:t>
                </w:r>
                <w:r>
                  <w:rPr>
                    <w:rFonts w:asciiTheme="minorBidi" w:hAnsiTheme="minorBidi"/>
                    <w:sz w:val="20"/>
                    <w:szCs w:val="20"/>
                  </w:rPr>
                  <w:t>Phone</w:t>
                </w:r>
                <w:r w:rsidR="00BD0FF6">
                  <w:rPr>
                    <w:rFonts w:asciiTheme="minorBidi" w:hAnsiTheme="minorBidi"/>
                    <w:sz w:val="20"/>
                    <w:szCs w:val="20"/>
                  </w:rPr>
                  <w:t xml:space="preserve"> Calls.</w:t>
                </w:r>
              </w:p>
              <w:p w14:paraId="0B169A91" w14:textId="5E7F0AEB" w:rsidR="00B749DB" w:rsidRPr="00321654" w:rsidRDefault="00B749DB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3ACF7E9D" w:rsidR="00B749DB" w:rsidRPr="00321654" w:rsidRDefault="00920FE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Content>
            <w:tc>
              <w:tcPr>
                <w:tcW w:w="5261" w:type="dxa"/>
                <w:gridSpan w:val="2"/>
              </w:tcPr>
              <w:p w14:paraId="69E33626" w14:textId="2E11D857" w:rsidR="00B749DB" w:rsidRPr="00321654" w:rsidRDefault="00C640B4" w:rsidP="00C640B4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5F7FB0">
                  <w:rPr>
                    <w:rFonts w:cs="Arial"/>
                    <w:color w:val="000000" w:themeColor="text1"/>
                    <w:sz w:val="20"/>
                  </w:rPr>
                  <w:t>Office Services</w:t>
                </w:r>
                <w:r>
                  <w:rPr>
                    <w:rFonts w:cs="Arial"/>
                    <w:color w:val="000000" w:themeColor="text1"/>
                    <w:sz w:val="20"/>
                  </w:rPr>
                  <w:t>-</w:t>
                </w:r>
                <w:r>
                  <w:rPr>
                    <w:rFonts w:cs="Arial"/>
                    <w:color w:val="000000" w:themeColor="text1"/>
                    <w:sz w:val="20"/>
                  </w:rPr>
                  <w:t xml:space="preserve">PBX Unit, 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1A05833D" w:rsidR="00B749DB" w:rsidRPr="00321654" w:rsidRDefault="007623C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28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5423EFF" w:rsidR="00B749DB" w:rsidRPr="00321654" w:rsidRDefault="007623C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02-28-2017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10-04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58398770" w:rsidR="00B749DB" w:rsidRPr="00321654" w:rsidRDefault="007623C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10-04-2017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DA558AB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B479ADF" w14:textId="77777777" w:rsidR="00C640B4" w:rsidRPr="0037000B" w:rsidRDefault="00C640B4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049894A7" w14:textId="7468C6E5" w:rsidR="000646B7" w:rsidRPr="00083951" w:rsidRDefault="007623C1" w:rsidP="00C640B4">
                <w:pPr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 xml:space="preserve">9% of total </w:t>
                </w:r>
                <w:r w:rsidR="006B179C" w:rsidRPr="00083951">
                  <w:rPr>
                    <w:rFonts w:cs="Arial"/>
                    <w:sz w:val="20"/>
                    <w:szCs w:val="20"/>
                  </w:rPr>
                  <w:t>Private Branch Exchange (</w:t>
                </w:r>
                <w:r w:rsidRPr="00083951">
                  <w:rPr>
                    <w:rFonts w:cs="Arial"/>
                    <w:sz w:val="20"/>
                    <w:szCs w:val="20"/>
                  </w:rPr>
                  <w:t>PBX</w:t>
                </w:r>
                <w:r w:rsidR="006B179C" w:rsidRPr="00083951">
                  <w:rPr>
                    <w:rFonts w:cs="Arial"/>
                    <w:sz w:val="20"/>
                    <w:szCs w:val="20"/>
                  </w:rPr>
                  <w:t>)</w:t>
                </w:r>
                <w:r w:rsidRPr="00083951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="00BD0FF6" w:rsidRPr="00083951">
                  <w:rPr>
                    <w:rFonts w:cs="Arial"/>
                    <w:sz w:val="20"/>
                    <w:szCs w:val="20"/>
                  </w:rPr>
                  <w:t xml:space="preserve">calls </w:t>
                </w:r>
                <w:r w:rsidRPr="00083951">
                  <w:rPr>
                    <w:rFonts w:cs="Arial"/>
                    <w:sz w:val="20"/>
                    <w:szCs w:val="20"/>
                  </w:rPr>
                  <w:t xml:space="preserve">were identified </w:t>
                </w:r>
                <w:r w:rsidR="00BD0FF6" w:rsidRPr="00083951">
                  <w:rPr>
                    <w:rFonts w:cs="Arial"/>
                    <w:sz w:val="20"/>
                    <w:szCs w:val="20"/>
                  </w:rPr>
                  <w:t xml:space="preserve">as </w:t>
                </w:r>
                <w:r w:rsidRPr="00083951">
                  <w:rPr>
                    <w:rFonts w:cs="Arial"/>
                    <w:sz w:val="20"/>
                    <w:szCs w:val="20"/>
                  </w:rPr>
                  <w:t>abandoned phone calls.</w:t>
                </w:r>
                <w:r w:rsidR="000646B7" w:rsidRPr="00083951">
                  <w:rPr>
                    <w:rFonts w:cs="Arial"/>
                    <w:sz w:val="20"/>
                    <w:szCs w:val="20"/>
                  </w:rPr>
                  <w:t xml:space="preserve"> Reducing the percentage of abandoned calls was one of the main issue encountered in PBX. One of the factor</w:t>
                </w:r>
                <w:r w:rsidR="00C640B4" w:rsidRPr="00083951">
                  <w:rPr>
                    <w:rFonts w:cs="Arial"/>
                    <w:sz w:val="20"/>
                    <w:szCs w:val="20"/>
                  </w:rPr>
                  <w:t>s</w:t>
                </w:r>
                <w:r w:rsidR="000646B7" w:rsidRPr="00083951">
                  <w:rPr>
                    <w:rFonts w:cs="Arial"/>
                    <w:sz w:val="20"/>
                    <w:szCs w:val="20"/>
                  </w:rPr>
                  <w:t xml:space="preserve"> related to this is the hospital fast progress and growth, opening new buildings &amp; </w:t>
                </w:r>
                <w:r w:rsidR="00C640B4" w:rsidRPr="00083951">
                  <w:rPr>
                    <w:rFonts w:cs="Arial"/>
                    <w:sz w:val="20"/>
                    <w:szCs w:val="20"/>
                  </w:rPr>
                  <w:t>constructions</w:t>
                </w:r>
                <w:r w:rsidR="000646B7" w:rsidRPr="00083951">
                  <w:rPr>
                    <w:rFonts w:cs="Arial"/>
                    <w:sz w:val="20"/>
                    <w:szCs w:val="20"/>
                  </w:rPr>
                  <w:t xml:space="preserve"> in progress in some areas, also opening of new clinics which resulted in increased number of patients in the Hospital</w:t>
                </w:r>
                <w:r w:rsidR="00C640B4" w:rsidRPr="00083951">
                  <w:rPr>
                    <w:rFonts w:cs="Arial"/>
                    <w:sz w:val="20"/>
                    <w:szCs w:val="20"/>
                  </w:rPr>
                  <w:t>;</w:t>
                </w:r>
                <w:r w:rsidR="000646B7" w:rsidRPr="00083951">
                  <w:rPr>
                    <w:rFonts w:cs="Arial"/>
                    <w:sz w:val="20"/>
                    <w:szCs w:val="20"/>
                  </w:rPr>
                  <w:t xml:space="preserve"> that is why this project was initiated in order to reduce the abandoned calls to provide efficient and best s</w:t>
                </w:r>
                <w:r w:rsidR="00C640B4" w:rsidRPr="00083951">
                  <w:rPr>
                    <w:rFonts w:cs="Arial"/>
                    <w:sz w:val="20"/>
                    <w:szCs w:val="20"/>
                  </w:rPr>
                  <w:t xml:space="preserve">ervice to the patients. </w:t>
                </w:r>
                <w:r w:rsidR="000646B7" w:rsidRPr="00083951">
                  <w:rPr>
                    <w:rFonts w:cs="Arial"/>
                    <w:sz w:val="20"/>
                    <w:szCs w:val="20"/>
                  </w:rPr>
                  <w:t>PBX Operators are sometimes faced with difficulty in terms of clinics location inside the Hospital and communication gap.</w:t>
                </w:r>
                <w:r w:rsidR="000646B7" w:rsidRPr="00083951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2D6AA6D7" w14:textId="6C8B7706" w:rsidR="00B749DB" w:rsidRPr="00B67535" w:rsidRDefault="009B3B1C" w:rsidP="000646B7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150D3581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36CA5D32" w14:textId="77777777" w:rsidR="00C640B4" w:rsidRPr="004910B3" w:rsidRDefault="00C640B4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FD7F8EA" w14:textId="6222D281" w:rsidR="007623C1" w:rsidRPr="007623C1" w:rsidRDefault="007623C1" w:rsidP="000839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decrease the percentage of abandoned calls</w:t>
            </w:r>
            <w:r w:rsidRPr="007623C1">
              <w:rPr>
                <w:rFonts w:cs="Arial"/>
                <w:sz w:val="20"/>
                <w:szCs w:val="20"/>
              </w:rPr>
              <w:t xml:space="preserve"> from 9% to </w:t>
            </w:r>
            <w:r w:rsidR="00083951">
              <w:rPr>
                <w:rFonts w:cs="Arial"/>
                <w:sz w:val="20"/>
                <w:szCs w:val="20"/>
              </w:rPr>
              <w:t>5.4</w:t>
            </w:r>
            <w:r w:rsidRPr="007623C1">
              <w:rPr>
                <w:rFonts w:cs="Arial"/>
                <w:sz w:val="20"/>
                <w:szCs w:val="20"/>
              </w:rPr>
              <w:t>%</w:t>
            </w:r>
            <w:r w:rsidR="009A344F">
              <w:rPr>
                <w:rFonts w:cs="Arial"/>
                <w:sz w:val="20"/>
                <w:szCs w:val="20"/>
              </w:rPr>
              <w:t xml:space="preserve"> (</w:t>
            </w:r>
            <w:r w:rsidR="00083951">
              <w:rPr>
                <w:rFonts w:cs="Arial"/>
                <w:sz w:val="20"/>
                <w:szCs w:val="20"/>
              </w:rPr>
              <w:t>4</w:t>
            </w:r>
            <w:r w:rsidR="009A344F">
              <w:rPr>
                <w:rFonts w:cs="Arial"/>
                <w:sz w:val="20"/>
                <w:szCs w:val="20"/>
              </w:rPr>
              <w:t>0% decrease from baseline)</w:t>
            </w:r>
            <w:r w:rsidRPr="007623C1">
              <w:rPr>
                <w:rFonts w:cs="Arial"/>
                <w:sz w:val="20"/>
                <w:szCs w:val="20"/>
              </w:rPr>
              <w:t xml:space="preserve"> by the end of 2017. </w:t>
            </w:r>
          </w:p>
          <w:p w14:paraId="6A385A65" w14:textId="77777777" w:rsidR="00B749DB" w:rsidRPr="007623C1" w:rsidRDefault="00B749DB" w:rsidP="007623C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6630231" w:rsidR="00B749DB" w:rsidRPr="0037000B" w:rsidRDefault="009B3B1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4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3C8DE255" w:rsidR="00B749DB" w:rsidRPr="0037000B" w:rsidRDefault="009B3B1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3C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167B60A2" w:rsidR="00B749DB" w:rsidRPr="0037000B" w:rsidRDefault="009B3B1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3C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9B3B1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29EF8965" w:rsidR="00B749DB" w:rsidRPr="0037000B" w:rsidRDefault="009B3B1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3C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9B3B1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0CF5573C" w:rsidR="00B749DB" w:rsidRPr="0037000B" w:rsidRDefault="007623C1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Effective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92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6"/>
      </w:tblGrid>
      <w:tr w:rsidR="00B749DB" w:rsidRPr="00CD0A93" w14:paraId="6BD332CD" w14:textId="77777777" w:rsidTr="00083951">
        <w:trPr>
          <w:trHeight w:val="1295"/>
        </w:trPr>
        <w:tc>
          <w:tcPr>
            <w:tcW w:w="10926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:rsidRPr="00083951" w14:paraId="21716FBE" w14:textId="77777777" w:rsidTr="00E212B0">
              <w:tc>
                <w:tcPr>
                  <w:tcW w:w="5143" w:type="dxa"/>
                </w:tcPr>
                <w:p w14:paraId="197447C8" w14:textId="71B9AE12" w:rsidR="00B749DB" w:rsidRPr="00083951" w:rsidRDefault="00C640B4" w:rsidP="00C640B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083951">
                    <w:rPr>
                      <w:rFonts w:cs="Arial"/>
                      <w:sz w:val="20"/>
                      <w:szCs w:val="20"/>
                    </w:rPr>
                    <w:t>A</w:t>
                  </w:r>
                  <w:r w:rsidR="007623C1" w:rsidRPr="00083951">
                    <w:rPr>
                      <w:rFonts w:cs="Arial"/>
                      <w:sz w:val="20"/>
                      <w:szCs w:val="20"/>
                    </w:rPr>
                    <w:t xml:space="preserve">bandoned calls </w:t>
                  </w:r>
                  <w:r w:rsidRPr="00083951">
                    <w:rPr>
                      <w:rFonts w:cs="Arial"/>
                      <w:sz w:val="20"/>
                      <w:szCs w:val="20"/>
                    </w:rPr>
                    <w:t>(%)</w:t>
                  </w:r>
                  <w:r w:rsidR="007623C1" w:rsidRPr="0008395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43" w:type="dxa"/>
                </w:tcPr>
                <w:p w14:paraId="1CF29601" w14:textId="769DD462" w:rsidR="00B749DB" w:rsidRPr="00083951" w:rsidRDefault="009A344F" w:rsidP="0008395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083951">
                    <w:rPr>
                      <w:rFonts w:cs="Arial"/>
                      <w:sz w:val="20"/>
                      <w:szCs w:val="20"/>
                    </w:rPr>
                    <w:t xml:space="preserve">Not to exceed </w:t>
                  </w:r>
                  <w:r w:rsidR="00083951" w:rsidRPr="00083951">
                    <w:rPr>
                      <w:rFonts w:cs="Arial"/>
                      <w:sz w:val="20"/>
                      <w:szCs w:val="20"/>
                    </w:rPr>
                    <w:t>5.4</w:t>
                  </w:r>
                  <w:r w:rsidRPr="00083951">
                    <w:rPr>
                      <w:rFonts w:cs="Arial"/>
                      <w:sz w:val="20"/>
                      <w:szCs w:val="20"/>
                    </w:rPr>
                    <w:t>% (</w:t>
                  </w:r>
                  <w:r w:rsidR="00083951" w:rsidRPr="00083951">
                    <w:rPr>
                      <w:rFonts w:cs="Arial"/>
                      <w:sz w:val="20"/>
                      <w:szCs w:val="20"/>
                    </w:rPr>
                    <w:t>4</w:t>
                  </w:r>
                  <w:r w:rsidRPr="00083951">
                    <w:rPr>
                      <w:rFonts w:cs="Arial"/>
                      <w:sz w:val="20"/>
                      <w:szCs w:val="20"/>
                    </w:rPr>
                    <w:t>0</w:t>
                  </w:r>
                  <w:r w:rsidR="007623C1" w:rsidRPr="00083951">
                    <w:rPr>
                      <w:rFonts w:cs="Arial"/>
                      <w:sz w:val="20"/>
                      <w:szCs w:val="20"/>
                    </w:rPr>
                    <w:t xml:space="preserve">% </w:t>
                  </w:r>
                  <w:r w:rsidR="00083951" w:rsidRPr="00083951">
                    <w:rPr>
                      <w:rFonts w:cs="Arial"/>
                      <w:sz w:val="20"/>
                      <w:szCs w:val="20"/>
                    </w:rPr>
                    <w:t xml:space="preserve">decrease </w:t>
                  </w:r>
                  <w:r w:rsidRPr="00083951">
                    <w:rPr>
                      <w:rFonts w:cs="Arial"/>
                      <w:sz w:val="20"/>
                      <w:szCs w:val="20"/>
                    </w:rPr>
                    <w:t>from baseline)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083951">
        <w:trPr>
          <w:trHeight w:val="1894"/>
        </w:trPr>
        <w:tc>
          <w:tcPr>
            <w:tcW w:w="10926" w:type="dxa"/>
          </w:tcPr>
          <w:p w14:paraId="2050DB7C" w14:textId="77777777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7EE79CB" w14:textId="77777777" w:rsidR="000646B7" w:rsidRPr="00DD439D" w:rsidRDefault="000646B7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295129F" w14:textId="0BF84551" w:rsidR="009A344F" w:rsidRPr="00083951" w:rsidRDefault="009A344F" w:rsidP="009A344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083951">
              <w:rPr>
                <w:rFonts w:cs="Arial"/>
                <w:sz w:val="20"/>
                <w:szCs w:val="20"/>
              </w:rPr>
              <w:t xml:space="preserve">Staff </w:t>
            </w:r>
            <w:r w:rsidR="0038244E" w:rsidRPr="00083951">
              <w:rPr>
                <w:rFonts w:cs="Arial"/>
                <w:sz w:val="20"/>
                <w:szCs w:val="20"/>
              </w:rPr>
              <w:t>enroll</w:t>
            </w:r>
            <w:r w:rsidRPr="00083951">
              <w:rPr>
                <w:rFonts w:cs="Arial"/>
                <w:sz w:val="20"/>
                <w:szCs w:val="20"/>
              </w:rPr>
              <w:t>ment</w:t>
            </w:r>
            <w:r w:rsidR="0038244E" w:rsidRPr="00083951">
              <w:rPr>
                <w:rFonts w:cs="Arial"/>
                <w:sz w:val="20"/>
                <w:szCs w:val="20"/>
              </w:rPr>
              <w:t xml:space="preserve"> in self-development training like the English courses to enhance and improve their communication skills</w:t>
            </w:r>
            <w:r w:rsidRPr="00083951">
              <w:rPr>
                <w:rFonts w:cs="Arial"/>
                <w:sz w:val="20"/>
                <w:szCs w:val="20"/>
              </w:rPr>
              <w:t>;</w:t>
            </w:r>
            <w:r w:rsidR="0038244E" w:rsidRPr="00083951">
              <w:rPr>
                <w:rFonts w:cs="Arial"/>
                <w:sz w:val="20"/>
                <w:szCs w:val="20"/>
              </w:rPr>
              <w:t xml:space="preserve"> </w:t>
            </w:r>
          </w:p>
          <w:p w14:paraId="5900E502" w14:textId="5B8F3B92" w:rsidR="00B749DB" w:rsidRPr="009A344F" w:rsidRDefault="009A344F" w:rsidP="009A344F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/>
                <w:sz w:val="20"/>
                <w:szCs w:val="20"/>
              </w:rPr>
            </w:pPr>
            <w:r w:rsidRPr="00083951">
              <w:rPr>
                <w:rFonts w:cs="Arial"/>
                <w:sz w:val="20"/>
                <w:szCs w:val="20"/>
              </w:rPr>
              <w:t xml:space="preserve">Location acquaintances by all PBX staff </w:t>
            </w:r>
            <w:r w:rsidR="0038244E" w:rsidRPr="00083951">
              <w:rPr>
                <w:rFonts w:cs="Arial"/>
                <w:sz w:val="20"/>
                <w:szCs w:val="20"/>
              </w:rPr>
              <w:t xml:space="preserve">to help operators visualize and be able to provide </w:t>
            </w:r>
            <w:r w:rsidRPr="00083951">
              <w:rPr>
                <w:rFonts w:cs="Arial"/>
                <w:sz w:val="20"/>
                <w:szCs w:val="20"/>
              </w:rPr>
              <w:t>the information needed.</w:t>
            </w:r>
            <w:r w:rsidR="0038244E" w:rsidRPr="00083951">
              <w:rPr>
                <w:rFonts w:cs="Arial"/>
                <w:sz w:val="20"/>
                <w:szCs w:val="20"/>
              </w:rPr>
              <w:tab/>
            </w:r>
          </w:p>
        </w:tc>
      </w:tr>
      <w:tr w:rsidR="00B749DB" w:rsidRPr="00CD0A93" w14:paraId="4C64EF4B" w14:textId="77777777" w:rsidTr="00083951">
        <w:trPr>
          <w:trHeight w:val="1894"/>
        </w:trPr>
        <w:tc>
          <w:tcPr>
            <w:tcW w:w="10926" w:type="dxa"/>
          </w:tcPr>
          <w:p w14:paraId="52645F19" w14:textId="77777777" w:rsidR="005F0C20" w:rsidRDefault="005F0C20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4B182767" w14:textId="55A7D399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B56BFCE" w14:textId="7A092616" w:rsidR="00083951" w:rsidRPr="00083951" w:rsidRDefault="00BD0FF6" w:rsidP="00083951">
            <w:pPr>
              <w:rPr>
                <w:rFonts w:cs="Arial"/>
                <w:sz w:val="20"/>
                <w:szCs w:val="20"/>
              </w:rPr>
            </w:pPr>
            <w:r w:rsidRPr="00083951">
              <w:rPr>
                <w:rFonts w:cs="Arial"/>
                <w:sz w:val="20"/>
                <w:szCs w:val="20"/>
              </w:rPr>
              <w:t>On September 2017, the total number of phone calls received by PBX operators was 36,860, and the total number of abandoned calls was 1,870 (5%). 95% of the total PBX calls were answered.</w:t>
            </w:r>
          </w:p>
          <w:p w14:paraId="4C071BB1" w14:textId="77777777" w:rsidR="00083951" w:rsidRPr="00083951" w:rsidRDefault="00083951" w:rsidP="00083951">
            <w:pPr>
              <w:rPr>
                <w:rFonts w:cs="Arial"/>
                <w:sz w:val="20"/>
                <w:szCs w:val="20"/>
              </w:rPr>
            </w:pPr>
          </w:p>
          <w:p w14:paraId="226D8068" w14:textId="65F7B7E5" w:rsidR="00BD0FF6" w:rsidRDefault="00C17B0B" w:rsidP="0008395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CBDE26" wp14:editId="102B6B19">
                  <wp:extent cx="6645910" cy="2114550"/>
                  <wp:effectExtent l="0" t="0" r="254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404E2D34" w14:textId="6CB86509" w:rsidR="00BD0FF6" w:rsidRDefault="00BD0FF6" w:rsidP="00BD0FF6">
            <w:pPr>
              <w:rPr>
                <w:rFonts w:cs="Arial"/>
                <w:color w:val="000000" w:themeColor="text1"/>
                <w:sz w:val="20"/>
              </w:rPr>
            </w:pPr>
          </w:p>
          <w:p w14:paraId="79090AFE" w14:textId="6AF7B4DF" w:rsidR="00083951" w:rsidRDefault="00083951" w:rsidP="00BD0FF6">
            <w:pPr>
              <w:rPr>
                <w:rFonts w:cs="Arial"/>
                <w:color w:val="000000" w:themeColor="text1"/>
                <w:sz w:val="20"/>
              </w:rPr>
            </w:pPr>
          </w:p>
          <w:p w14:paraId="3BE2BFEE" w14:textId="04E9DD1D" w:rsidR="00083951" w:rsidRDefault="00083951" w:rsidP="00BD0FF6">
            <w:pPr>
              <w:rPr>
                <w:rFonts w:cs="Arial"/>
                <w:color w:val="000000" w:themeColor="text1"/>
                <w:sz w:val="20"/>
              </w:rPr>
            </w:pPr>
          </w:p>
          <w:p w14:paraId="1AD4583C" w14:textId="77777777" w:rsidR="00083951" w:rsidRDefault="00083951" w:rsidP="00BD0FF6">
            <w:pPr>
              <w:rPr>
                <w:rFonts w:cs="Arial"/>
                <w:color w:val="000000" w:themeColor="text1"/>
                <w:sz w:val="20"/>
              </w:rPr>
            </w:pPr>
          </w:p>
          <w:p w14:paraId="38E82F29" w14:textId="043A8FF3" w:rsidR="005F0C20" w:rsidRDefault="00083951" w:rsidP="00BD0FF6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B100DE" wp14:editId="49E88097">
                  <wp:extent cx="6645910" cy="2717165"/>
                  <wp:effectExtent l="0" t="0" r="2540" b="698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3E660226" w14:textId="77777777" w:rsidR="005F0C20" w:rsidRDefault="005F0C20" w:rsidP="00BD0FF6">
            <w:pPr>
              <w:rPr>
                <w:rFonts w:cs="Arial"/>
                <w:color w:val="000000" w:themeColor="text1"/>
                <w:sz w:val="20"/>
              </w:rPr>
            </w:pPr>
          </w:p>
          <w:p w14:paraId="0D929B85" w14:textId="3F2C93C4" w:rsidR="005F0C20" w:rsidRPr="00BD0FF6" w:rsidRDefault="005F0C20" w:rsidP="00BD0FF6">
            <w:pPr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39471686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2D8743F7" w:rsidR="00083951" w:rsidRPr="00CD0A93" w:rsidRDefault="00083951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3A3B9A4D" w:rsidR="00BF5A2A" w:rsidRPr="00083951" w:rsidRDefault="005F0C20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>Salih AlGhamdi, Supervisor, PBX Main</w:t>
                </w:r>
                <w:r w:rsidRPr="00083951">
                  <w:rPr>
                    <w:rFonts w:cs="Arial"/>
                    <w:sz w:val="20"/>
                    <w:szCs w:val="20"/>
                  </w:rPr>
                  <w:br/>
                  <w:t>Saud Aljomaiah, Acting Supervisor, PBX KFNCCC</w:t>
                </w:r>
              </w:p>
            </w:tc>
          </w:sdtContent>
        </w:sdt>
        <w:sdt>
          <w:sdtPr>
            <w:alias w:val="Project Members"/>
            <w:tag w:val="Project Members"/>
            <w:id w:val="-1661838756"/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58682" w14:textId="75AF368A" w:rsidR="000646B7" w:rsidRPr="00083951" w:rsidRDefault="000646B7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>Adel Alenizi, Shift Supervisor, PBX Main Hospital</w:t>
                </w:r>
                <w:r w:rsidRPr="00083951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3A65ED43" w14:textId="51F94464" w:rsidR="000646B7" w:rsidRPr="00083951" w:rsidRDefault="000646B7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>Saad Aladwani, Shift Supervisor, PBX KFNCCC</w:t>
                </w:r>
                <w:r w:rsidRPr="00083951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734BFA7B" w14:textId="4B8FBD74" w:rsidR="000646B7" w:rsidRPr="00083951" w:rsidRDefault="000646B7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>Bader Alenazi, Shift Supervisor, PBX Main</w:t>
                </w:r>
                <w:r w:rsidRPr="00083951">
                  <w:rPr>
                    <w:rFonts w:cs="Arial"/>
                    <w:sz w:val="20"/>
                    <w:szCs w:val="20"/>
                  </w:rPr>
                  <w:tab/>
                </w:r>
                <w:r w:rsidRPr="00083951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44D53B0B" w14:textId="67322FD2" w:rsidR="000646B7" w:rsidRPr="00083951" w:rsidRDefault="000646B7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>Reem Alghamdi, Shift Supervisor, PBX Main</w:t>
                </w:r>
                <w:r w:rsidRPr="00083951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25056F7A" w14:textId="77777777" w:rsidR="00083951" w:rsidRPr="00083951" w:rsidRDefault="000646B7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>Yousif Alshehri, Shift Supervisor, PBX Main</w:t>
                </w:r>
              </w:p>
              <w:p w14:paraId="4A411C56" w14:textId="0864FB32" w:rsidR="005F0C20" w:rsidRPr="00083951" w:rsidRDefault="00083951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 xml:space="preserve">All PBX </w:t>
                </w:r>
                <w:r w:rsidR="005F0C20" w:rsidRPr="00083951">
                  <w:rPr>
                    <w:rFonts w:cs="Arial"/>
                    <w:sz w:val="20"/>
                    <w:szCs w:val="20"/>
                  </w:rPr>
                  <w:t>Main Hospital</w:t>
                </w:r>
                <w:r w:rsidRPr="00083951">
                  <w:rPr>
                    <w:rFonts w:cs="Arial"/>
                    <w:sz w:val="20"/>
                    <w:szCs w:val="20"/>
                  </w:rPr>
                  <w:t xml:space="preserve"> Operators</w:t>
                </w:r>
                <w:r w:rsidR="005F0C20" w:rsidRPr="00083951">
                  <w:rPr>
                    <w:rFonts w:cs="Arial"/>
                    <w:sz w:val="20"/>
                    <w:szCs w:val="20"/>
                  </w:rPr>
                  <w:tab/>
                </w:r>
                <w:r w:rsidR="005F0C20" w:rsidRPr="00083951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57FC4063" w14:textId="4B942075" w:rsidR="005F0C20" w:rsidRPr="00083951" w:rsidRDefault="00083951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 xml:space="preserve">All PBX </w:t>
                </w:r>
                <w:r w:rsidR="005F0C20" w:rsidRPr="00083951">
                  <w:rPr>
                    <w:rFonts w:cs="Arial"/>
                    <w:sz w:val="20"/>
                    <w:szCs w:val="20"/>
                  </w:rPr>
                  <w:t>KFNCCC</w:t>
                </w:r>
                <w:r w:rsidRPr="00083951">
                  <w:rPr>
                    <w:rFonts w:cs="Arial"/>
                    <w:sz w:val="20"/>
                    <w:szCs w:val="20"/>
                  </w:rPr>
                  <w:t xml:space="preserve"> Hospital Operators</w:t>
                </w:r>
                <w:r w:rsidR="005F0C20" w:rsidRPr="00083951">
                  <w:rPr>
                    <w:rFonts w:cs="Arial"/>
                    <w:sz w:val="20"/>
                    <w:szCs w:val="20"/>
                  </w:rPr>
                  <w:tab/>
                </w:r>
                <w:r w:rsidR="005F0C20" w:rsidRPr="00083951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0D74CE83" w14:textId="65DD8AB2" w:rsidR="005F0C20" w:rsidRPr="00083951" w:rsidRDefault="005F0C20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ab/>
                </w:r>
                <w:r w:rsidRPr="00083951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432CDE91" w14:textId="7F1ECA5E" w:rsidR="005F0C20" w:rsidRPr="00083951" w:rsidRDefault="005F0C20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  <w:r w:rsidRPr="00083951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46BAA758" w14:textId="571FB021" w:rsidR="00BF5A2A" w:rsidRPr="00083951" w:rsidRDefault="00BF5A2A" w:rsidP="00083951">
                <w:pPr>
                  <w:ind w:left="360"/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44958F8A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D16E9" w14:textId="77777777" w:rsidR="009B3B1C" w:rsidRDefault="009B3B1C" w:rsidP="00DA3815">
      <w:pPr>
        <w:spacing w:line="240" w:lineRule="auto"/>
      </w:pPr>
      <w:r>
        <w:separator/>
      </w:r>
    </w:p>
  </w:endnote>
  <w:endnote w:type="continuationSeparator" w:id="0">
    <w:p w14:paraId="70784435" w14:textId="77777777" w:rsidR="009B3B1C" w:rsidRDefault="009B3B1C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6E63" w14:textId="77777777" w:rsidR="009B3B1C" w:rsidRDefault="009B3B1C" w:rsidP="00DA3815">
      <w:pPr>
        <w:spacing w:line="240" w:lineRule="auto"/>
      </w:pPr>
      <w:r>
        <w:separator/>
      </w:r>
    </w:p>
  </w:footnote>
  <w:footnote w:type="continuationSeparator" w:id="0">
    <w:p w14:paraId="5B5A455F" w14:textId="77777777" w:rsidR="009B3B1C" w:rsidRDefault="009B3B1C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74EFF"/>
    <w:multiLevelType w:val="hybridMultilevel"/>
    <w:tmpl w:val="C182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7"/>
  </w:num>
  <w:num w:numId="5">
    <w:abstractNumId w:val="20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6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14"/>
  </w:num>
  <w:num w:numId="23">
    <w:abstractNumId w:val="10"/>
  </w:num>
  <w:num w:numId="24">
    <w:abstractNumId w:val="11"/>
  </w:num>
  <w:num w:numId="25">
    <w:abstractNumId w:val="29"/>
  </w:num>
  <w:num w:numId="26">
    <w:abstractNumId w:val="25"/>
  </w:num>
  <w:num w:numId="27">
    <w:abstractNumId w:val="9"/>
  </w:num>
  <w:num w:numId="28">
    <w:abstractNumId w:val="26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646B7"/>
    <w:rsid w:val="00073073"/>
    <w:rsid w:val="00076024"/>
    <w:rsid w:val="0008253B"/>
    <w:rsid w:val="00083951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8244E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0C20"/>
    <w:rsid w:val="005F78B0"/>
    <w:rsid w:val="00616BAB"/>
    <w:rsid w:val="00642462"/>
    <w:rsid w:val="0065184C"/>
    <w:rsid w:val="006B179C"/>
    <w:rsid w:val="006C3F74"/>
    <w:rsid w:val="006C5CC5"/>
    <w:rsid w:val="006D63B1"/>
    <w:rsid w:val="00760950"/>
    <w:rsid w:val="007623C1"/>
    <w:rsid w:val="0076391E"/>
    <w:rsid w:val="0076502B"/>
    <w:rsid w:val="007D68EF"/>
    <w:rsid w:val="0080056A"/>
    <w:rsid w:val="00847F33"/>
    <w:rsid w:val="008B786E"/>
    <w:rsid w:val="008E6640"/>
    <w:rsid w:val="00920FE2"/>
    <w:rsid w:val="00923B4A"/>
    <w:rsid w:val="00944197"/>
    <w:rsid w:val="00964042"/>
    <w:rsid w:val="0097107A"/>
    <w:rsid w:val="009714C4"/>
    <w:rsid w:val="00981B8B"/>
    <w:rsid w:val="009A344F"/>
    <w:rsid w:val="009A5985"/>
    <w:rsid w:val="009B1578"/>
    <w:rsid w:val="009B3B1C"/>
    <w:rsid w:val="009B76B3"/>
    <w:rsid w:val="009C47EA"/>
    <w:rsid w:val="009C4B13"/>
    <w:rsid w:val="009E10A3"/>
    <w:rsid w:val="00A11756"/>
    <w:rsid w:val="00A22B24"/>
    <w:rsid w:val="00A2683F"/>
    <w:rsid w:val="00A70EA8"/>
    <w:rsid w:val="00AD7EEB"/>
    <w:rsid w:val="00AE2E61"/>
    <w:rsid w:val="00AF2E89"/>
    <w:rsid w:val="00B236BD"/>
    <w:rsid w:val="00B37B60"/>
    <w:rsid w:val="00B57125"/>
    <w:rsid w:val="00B67535"/>
    <w:rsid w:val="00B749DB"/>
    <w:rsid w:val="00BD0FF6"/>
    <w:rsid w:val="00BD5296"/>
    <w:rsid w:val="00BE35DC"/>
    <w:rsid w:val="00BE6482"/>
    <w:rsid w:val="00BF3E2E"/>
    <w:rsid w:val="00BF5A2A"/>
    <w:rsid w:val="00C17B0B"/>
    <w:rsid w:val="00C33A68"/>
    <w:rsid w:val="00C345DC"/>
    <w:rsid w:val="00C441A9"/>
    <w:rsid w:val="00C640B4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20A47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Number of Abandonned</a:t>
            </a:r>
            <a:r>
              <a:rPr lang="en-US" b="1" baseline="0"/>
              <a:t> Calls By PBX in September  2017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Sheet1!$C$480:$C$481</c:f>
              <c:strCache>
                <c:ptCount val="2"/>
                <c:pt idx="0">
                  <c:v>Received Calls</c:v>
                </c:pt>
                <c:pt idx="1">
                  <c:v>Abandoned Calls</c:v>
                </c:pt>
              </c:strCache>
            </c:strRef>
          </c:cat>
          <c:val>
            <c:numRef>
              <c:f>Sheet1!$D$480:$D$481</c:f>
              <c:numCache>
                <c:formatCode>General</c:formatCode>
                <c:ptCount val="2"/>
                <c:pt idx="0">
                  <c:v>36860</c:v>
                </c:pt>
                <c:pt idx="1">
                  <c:v>1870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C5-439C-8030-1132B1DE99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156832"/>
        <c:axId val="353985520"/>
      </c:barChart>
      <c:catAx>
        <c:axId val="40815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985520"/>
        <c:crosses val="autoZero"/>
        <c:auto val="1"/>
        <c:lblAlgn val="ctr"/>
        <c:lblOffset val="100"/>
        <c:noMultiLvlLbl val="0"/>
      </c:catAx>
      <c:valAx>
        <c:axId val="353985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815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Abandonned Calls by PBX: Comparison between 2016 &amp; 2017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5367104581376595E-2"/>
          <c:y val="0.25898148148148148"/>
          <c:w val="0.91381434953667928"/>
          <c:h val="0.412941090696996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Sheet1!$C$484</c:f>
              <c:strCache>
                <c:ptCount val="1"/>
                <c:pt idx="0">
                  <c:v>ABANDONNED CALLS 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Sheet1!$B$485:$B$496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Sheet1!$C$485:$C$496</c:f>
              <c:numCache>
                <c:formatCode>0.00%</c:formatCode>
                <c:ptCount val="12"/>
                <c:pt idx="0">
                  <c:v>6.8699999999999997E-2</c:v>
                </c:pt>
                <c:pt idx="1">
                  <c:v>7.0900000000000005E-2</c:v>
                </c:pt>
                <c:pt idx="2">
                  <c:v>7.7200000000000005E-2</c:v>
                </c:pt>
                <c:pt idx="3">
                  <c:v>0.09</c:v>
                </c:pt>
                <c:pt idx="4">
                  <c:v>9.4200000000000006E-2</c:v>
                </c:pt>
                <c:pt idx="5">
                  <c:v>9.98E-2</c:v>
                </c:pt>
                <c:pt idx="6">
                  <c:v>8.2799999999999999E-2</c:v>
                </c:pt>
                <c:pt idx="7">
                  <c:v>9.8900000000000002E-2</c:v>
                </c:pt>
                <c:pt idx="8">
                  <c:v>9.5899999999999999E-2</c:v>
                </c:pt>
                <c:pt idx="9">
                  <c:v>6.8199999999999997E-2</c:v>
                </c:pt>
                <c:pt idx="10">
                  <c:v>6.3700000000000007E-2</c:v>
                </c:pt>
                <c:pt idx="11">
                  <c:v>8.1699999999999995E-2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2F-476A-AFDB-C54BCD215FD6}"/>
            </c:ext>
          </c:extLst>
        </c:ser>
        <c:ser>
          <c:idx val="1"/>
          <c:order val="1"/>
          <c:tx>
            <c:strRef>
              <c:f>Sheet1!$D$484</c:f>
              <c:strCache>
                <c:ptCount val="1"/>
                <c:pt idx="0">
                  <c:v>ABANDONNED CALLS 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Sheet1!$B$485:$B$496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Sheet1!$D$485:$D$496</c:f>
              <c:numCache>
                <c:formatCode>0.00%</c:formatCode>
                <c:ptCount val="12"/>
                <c:pt idx="0">
                  <c:v>9.2499999999999999E-2</c:v>
                </c:pt>
                <c:pt idx="1">
                  <c:v>5.7299999999999997E-2</c:v>
                </c:pt>
                <c:pt idx="2">
                  <c:v>4.0099999999999997E-2</c:v>
                </c:pt>
                <c:pt idx="3">
                  <c:v>4.3299999999999998E-2</c:v>
                </c:pt>
                <c:pt idx="4">
                  <c:v>4.9000000000000002E-2</c:v>
                </c:pt>
                <c:pt idx="5">
                  <c:v>5.7099999999999998E-2</c:v>
                </c:pt>
                <c:pt idx="6">
                  <c:v>6.7100000000000007E-2</c:v>
                </c:pt>
                <c:pt idx="7">
                  <c:v>5.4199999999999998E-2</c:v>
                </c:pt>
                <c:pt idx="8">
                  <c:v>5.0700000000000002E-2</c:v>
                </c:pt>
                <c:pt idx="9">
                  <c:v>5.0299999999999997E-2</c:v>
                </c:pt>
                <c:pt idx="10">
                  <c:v>5.4899999999999997E-2</c:v>
                </c:pt>
                <c:pt idx="11">
                  <c:v>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2F-476A-AFDB-C54BCD215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449008"/>
        <c:axId val="409237904"/>
      </c:barChart>
      <c:catAx>
        <c:axId val="24744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237904"/>
        <c:crosses val="autoZero"/>
        <c:auto val="1"/>
        <c:lblAlgn val="ctr"/>
        <c:lblOffset val="100"/>
        <c:noMultiLvlLbl val="0"/>
      </c:catAx>
      <c:valAx>
        <c:axId val="40923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744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76640419947508"/>
          <c:y val="0.89409667541557303"/>
          <c:w val="0.814348791563139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0.39199</cdr:x>
      <cdr:y>0.47431</cdr:y>
    </cdr:from>
    <cdr:to>
      <cdr:x>0.745</cdr:x>
      <cdr:y>0.575</cdr:y>
    </cdr:to>
    <cdr:sp macro="" textlink="">
      <cdr:nvSpPr>
        <cdr:cNvPr id="2" name="TextBox 1"/>
        <cdr:cNvSpPr txBox="1"/>
      </cdr:nvSpPr>
      <cdr:spPr>
        <a:xfrm xmlns:a="http://schemas.openxmlformats.org/drawingml/2006/main" rot="1240713">
          <a:off x="2665865" y="1002952"/>
          <a:ext cx="2400768" cy="212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Only 5.1% of calls were abandonned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0676C"/>
    <w:rsid w:val="004C412D"/>
    <w:rsid w:val="007E62B5"/>
    <w:rsid w:val="009C63E1"/>
    <w:rsid w:val="00B254DF"/>
    <w:rsid w:val="00BC5EC8"/>
    <w:rsid w:val="00C253A4"/>
    <w:rsid w:val="00CC3F6B"/>
    <w:rsid w:val="00CC6684"/>
    <w:rsid w:val="00DC617C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76C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15536585C447674C88C7D455E15EAD86">
    <w:name w:val="15536585C447674C88C7D455E15EAD86"/>
    <w:rsid w:val="0030676C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645A-CF4E-461E-B0E3-9D697BB9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11</cp:revision>
  <cp:lastPrinted>2017-12-31T20:40:00Z</cp:lastPrinted>
  <dcterms:created xsi:type="dcterms:W3CDTF">2018-01-09T14:15:00Z</dcterms:created>
  <dcterms:modified xsi:type="dcterms:W3CDTF">2018-04-02T06:32:00Z</dcterms:modified>
</cp:coreProperties>
</file>