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3BBBB" w14:textId="77777777" w:rsidR="00B749DB" w:rsidRDefault="00B749DB" w:rsidP="00B749DB">
      <w:pPr>
        <w:rPr>
          <w:color w:val="000000" w:themeColor="text1"/>
          <w:sz w:val="20"/>
        </w:rPr>
      </w:pPr>
    </w:p>
    <w:p w14:paraId="4A85B585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4EAE7249" wp14:editId="156337F5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6919F30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AA1D37" w:themeColor="accent4"/>
          <w:sz w:val="32"/>
        </w:rPr>
      </w:pPr>
      <w:r w:rsidRPr="00581F4F">
        <w:rPr>
          <w:rFonts w:ascii="Gill Sans MT Condensed" w:hAnsi="Gill Sans MT Condensed"/>
          <w:color w:val="AA1D37" w:themeColor="accent4"/>
          <w:sz w:val="32"/>
        </w:rPr>
        <w:t xml:space="preserve">STRATEGIC PRIORITY </w:t>
      </w:r>
    </w:p>
    <w:p w14:paraId="1B94AF2F" w14:textId="4182431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821231019"/>
          <w:placeholder>
            <w:docPart w:val="EA8ED80BC991498787523AB3EAFE788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3. Improve efficiency and decision-making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211612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678E4" wp14:editId="68386FDC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4E8E39" id="Straight Connector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EwdUB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5FC844FE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749DB" w:rsidRPr="00CD0A93" w14:paraId="59722587" w14:textId="77777777" w:rsidTr="00581F4F">
        <w:trPr>
          <w:trHeight w:val="275"/>
        </w:trPr>
        <w:tc>
          <w:tcPr>
            <w:tcW w:w="10519" w:type="dxa"/>
            <w:gridSpan w:val="4"/>
            <w:shd w:val="clear" w:color="auto" w:fill="AA1D37" w:themeFill="accent4"/>
          </w:tcPr>
          <w:p w14:paraId="210BB6D7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B749DB" w:rsidRPr="00CD0A93" w14:paraId="7D345D13" w14:textId="77777777" w:rsidTr="00E212B0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-256288393"/>
            <w:placeholder>
              <w:docPart w:val="ACACAC12DFCC4BB1A5A2BEE76781DBE3"/>
            </w:placeholder>
            <w15:color w:val="FFFFFF"/>
            <w15:appearance w15:val="hidden"/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0B169A91" w14:textId="758A6F5B" w:rsidR="00B749DB" w:rsidRPr="00321654" w:rsidRDefault="00FE0DBA" w:rsidP="00FE0DBA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Prevention Patient Falls in Radiation Therapy</w:t>
                </w:r>
              </w:p>
            </w:tc>
          </w:sdtContent>
        </w:sdt>
      </w:tr>
      <w:tr w:rsidR="00B749DB" w:rsidRPr="00CD0A93" w14:paraId="40409BEB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AA1D37" w:themeFill="accent4"/>
          </w:tcPr>
          <w:p w14:paraId="5CE3AF2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AA1D37" w:themeFill="accent4"/>
          </w:tcPr>
          <w:p w14:paraId="25C2E10E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B749DB" w:rsidRPr="00CD0A93" w14:paraId="4CA12D17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2004505830"/>
            <w:placeholder>
              <w:docPart w:val="247D7E0C4C634AC2A74DA710C573D65D"/>
            </w:placeholder>
            <w15:color w:val="FFFFFF"/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9AA6B4E" w14:textId="1CCAB5AF" w:rsidR="00B749DB" w:rsidRPr="00321654" w:rsidRDefault="00C52245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1500612917"/>
            <w:placeholder>
              <w:docPart w:val="6007E9E1FE0D4368B949A2BCD8478B59"/>
            </w:placeholder>
            <w15:color w:val="FFFFFF"/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9E33626" w14:textId="1FE6A0B5" w:rsidR="00B749DB" w:rsidRPr="00321654" w:rsidRDefault="00C52245" w:rsidP="00C52245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Oncology /Liver Nursing – Radiation Therapy</w:t>
                </w:r>
              </w:p>
            </w:tc>
          </w:sdtContent>
        </w:sdt>
      </w:tr>
      <w:tr w:rsidR="00B749DB" w:rsidRPr="00CD0A93" w14:paraId="17DF1766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E4BAAAA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55D9B076" w14:textId="77777777" w:rsidTr="00581F4F">
        <w:trPr>
          <w:trHeight w:val="282"/>
        </w:trPr>
        <w:tc>
          <w:tcPr>
            <w:tcW w:w="3505" w:type="dxa"/>
            <w:shd w:val="clear" w:color="auto" w:fill="AA1D37" w:themeFill="accent4"/>
          </w:tcPr>
          <w:p w14:paraId="64915D26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AA1D37" w:themeFill="accent4"/>
          </w:tcPr>
          <w:p w14:paraId="37AF6461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AA1D37" w:themeFill="accent4"/>
          </w:tcPr>
          <w:p w14:paraId="5EAAB47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B749DB" w:rsidRPr="00CD0A93" w14:paraId="7D76FCCB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411370210"/>
            <w:placeholder>
              <w:docPart w:val="7AE122A2FA554CE499C47993957D33B4"/>
            </w:placeholder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1B539568" w14:textId="15183BB5" w:rsidR="00B749DB" w:rsidRPr="00321654" w:rsidRDefault="00C52245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583078647"/>
            <w:placeholder>
              <w:docPart w:val="A6D9AA506F154435A3CECC4CED4F6AB0"/>
            </w:placeholder>
            <w15:color w:val="FFFFFF"/>
            <w:date w:fullDate="2017-02-28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709777E4" w14:textId="00BF9044" w:rsidR="00B749DB" w:rsidRPr="00321654" w:rsidRDefault="00C52245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02-28-2017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794062690"/>
            <w:placeholder>
              <w:docPart w:val="B59BA503D13F4DDEB787B45EE66127B2"/>
            </w:placeholder>
            <w15:color w:val="FFFFFF"/>
            <w:date w:fullDate="2017-09-30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7DDF601C" w14:textId="03E67231" w:rsidR="00B749DB" w:rsidRPr="00321654" w:rsidRDefault="00C52245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09-30-2017</w:t>
                </w:r>
              </w:p>
            </w:tc>
          </w:sdtContent>
        </w:sdt>
      </w:tr>
    </w:tbl>
    <w:p w14:paraId="58CCE3DE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4538C87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474E99AF" w14:textId="5ECE293E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  <w:szCs w:val="20"/>
              </w:rPr>
              <w:t>Problem:</w:t>
            </w:r>
            <w:r w:rsidRPr="00581F4F">
              <w:rPr>
                <w:rFonts w:cs="Arial"/>
                <w:color w:val="AA1D37" w:themeColor="accent4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p w14:paraId="26111667" w14:textId="77777777" w:rsidR="00C52245" w:rsidRDefault="00C52245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1797949054"/>
              <w:placeholder>
                <w:docPart w:val="E0EF5472702C47F39AD9FE8B00EA84FB"/>
              </w:placeholder>
              <w15:appearance w15:val="hidden"/>
            </w:sdtPr>
            <w:sdtContent>
              <w:p w14:paraId="40D5115F" w14:textId="77777777" w:rsidR="00893D1B" w:rsidRPr="00893D1B" w:rsidRDefault="00893D1B" w:rsidP="00893D1B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893D1B">
                  <w:rPr>
                    <w:rFonts w:cs="Arial"/>
                    <w:color w:val="000000" w:themeColor="text1"/>
                    <w:sz w:val="20"/>
                    <w:szCs w:val="20"/>
                  </w:rPr>
                  <w:t>Radiation Therapy provides curative and palliative radiation treatment for pediatric and adult population.</w:t>
                </w:r>
              </w:p>
              <w:p w14:paraId="6806D7C9" w14:textId="77777777" w:rsidR="00C72644" w:rsidRDefault="00893D1B" w:rsidP="00C72644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893D1B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Falls are common complications among people with cancer, regardless of age and condition. People with cancer who fall are often more at risk of serious injury than others. </w:t>
                </w:r>
              </w:p>
              <w:p w14:paraId="76B71E44" w14:textId="59AD4A43" w:rsidR="00C72644" w:rsidRDefault="00893D1B" w:rsidP="00C72644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893D1B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Being one of the nursing-sensitive indicator, fall prevention should be everyone’s responsibility. </w:t>
                </w:r>
              </w:p>
              <w:p w14:paraId="490841A1" w14:textId="056EC116" w:rsidR="00893D1B" w:rsidRPr="00893D1B" w:rsidRDefault="00893D1B" w:rsidP="00C72644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893D1B">
                  <w:rPr>
                    <w:rFonts w:cs="Arial"/>
                    <w:color w:val="000000" w:themeColor="text1"/>
                    <w:sz w:val="20"/>
                    <w:szCs w:val="20"/>
                  </w:rPr>
                  <w:t>Some of the contributing factors to fa</w:t>
                </w:r>
                <w:r w:rsidR="00C72644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ll included certain medications, </w:t>
                </w:r>
                <w:r w:rsidRPr="00893D1B">
                  <w:rPr>
                    <w:rFonts w:cs="Arial"/>
                    <w:color w:val="000000" w:themeColor="text1"/>
                    <w:sz w:val="20"/>
                    <w:szCs w:val="20"/>
                  </w:rPr>
                  <w:t>low blood counts, low blood pressure and muscle weakness &amp; fatigue.</w:t>
                </w:r>
              </w:p>
              <w:p w14:paraId="47BED707" w14:textId="78C049EA" w:rsidR="00C52245" w:rsidRDefault="00893D1B" w:rsidP="00C72644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893D1B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Three (3) incidences of falls in </w:t>
                </w:r>
                <w:r w:rsidR="00C72644">
                  <w:rPr>
                    <w:rFonts w:cs="Arial"/>
                    <w:color w:val="000000" w:themeColor="text1"/>
                    <w:sz w:val="20"/>
                    <w:szCs w:val="20"/>
                  </w:rPr>
                  <w:t>3Q</w:t>
                </w:r>
                <w:r w:rsidRPr="00893D1B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2016 and </w:t>
                </w:r>
                <w:r w:rsidR="00C72644">
                  <w:rPr>
                    <w:rFonts w:cs="Arial"/>
                    <w:color w:val="000000" w:themeColor="text1"/>
                    <w:sz w:val="20"/>
                    <w:szCs w:val="20"/>
                  </w:rPr>
                  <w:t>one (</w:t>
                </w:r>
                <w:r w:rsidRPr="00893D1B">
                  <w:rPr>
                    <w:rFonts w:cs="Arial"/>
                    <w:color w:val="000000" w:themeColor="text1"/>
                    <w:sz w:val="20"/>
                    <w:szCs w:val="20"/>
                  </w:rPr>
                  <w:t>1</w:t>
                </w:r>
                <w:r w:rsidR="00C72644">
                  <w:rPr>
                    <w:rFonts w:cs="Arial"/>
                    <w:color w:val="000000" w:themeColor="text1"/>
                    <w:sz w:val="20"/>
                    <w:szCs w:val="20"/>
                  </w:rPr>
                  <w:t>)</w:t>
                </w:r>
                <w:r w:rsidRPr="00893D1B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incidence in </w:t>
                </w:r>
                <w:r w:rsidR="00C72644">
                  <w:rPr>
                    <w:rFonts w:cs="Arial"/>
                    <w:color w:val="000000" w:themeColor="text1"/>
                    <w:sz w:val="20"/>
                    <w:szCs w:val="20"/>
                  </w:rPr>
                  <w:t>4Q</w:t>
                </w:r>
                <w:r w:rsidRPr="00893D1B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2016 were reported through the Safety Reporting System which alerted the staff nurses in Radiation Therapy to take it as an opportunity for improvement.</w:t>
                </w:r>
              </w:p>
            </w:sdtContent>
          </w:sdt>
          <w:p w14:paraId="297D0917" w14:textId="77777777" w:rsidR="00C52245" w:rsidRPr="0037000B" w:rsidRDefault="00C52245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2D6AA6D7" w14:textId="708172FF" w:rsidR="00B749DB" w:rsidRPr="00B67535" w:rsidRDefault="00B749DB" w:rsidP="00E212B0">
            <w:pPr>
              <w:rPr>
                <w:rFonts w:cs="Arial"/>
                <w:color w:val="00A3E4" w:themeColor="accent2"/>
                <w:sz w:val="20"/>
                <w:szCs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6F8F5EE5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6A385A65" w14:textId="712D632E" w:rsidR="00B749DB" w:rsidRDefault="00B749DB" w:rsidP="00C72644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7542DC5C" w14:textId="15158240" w:rsidR="00C72644" w:rsidRPr="00C72644" w:rsidRDefault="00C72644" w:rsidP="00C7264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To decrease the incidence of patient’s falls in Radiation therapy to be below the NDNQI benchmark by third quarter 2017</w:t>
            </w:r>
          </w:p>
          <w:p w14:paraId="0EF0C16A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345BF90B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2E703A1B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271D75B" w14:textId="75328B9E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2F231958" w14:textId="77777777" w:rsidR="00C72644" w:rsidRPr="0037000B" w:rsidRDefault="00C72644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045F84B8" w14:textId="77777777" w:rsidR="00B749DB" w:rsidRPr="0037000B" w:rsidRDefault="00A753D7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314618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5F734555" w14:textId="649BB5A0" w:rsidR="00B749DB" w:rsidRPr="0037000B" w:rsidRDefault="00A753D7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642229683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644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6437BA73" w14:textId="4F729E35" w:rsidR="00B749DB" w:rsidRPr="0037000B" w:rsidRDefault="00A753D7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999308230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644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48F8AF2F" w14:textId="77777777" w:rsidR="00B749DB" w:rsidRPr="0037000B" w:rsidRDefault="00A753D7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9238747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657D03" w14:textId="606E54A1" w:rsidR="00B749DB" w:rsidRPr="0037000B" w:rsidRDefault="00A753D7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39311451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644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B7994E2" w14:textId="77777777" w:rsidR="00B749DB" w:rsidRPr="0037000B" w:rsidRDefault="00A753D7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737664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51962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982076408"/>
                <w:placeholder>
                  <w:docPart w:val="1CB3D243DB094DA4B385F171D6AEE5F2"/>
                </w:placeholder>
                <w:showingPlcHdr/>
                <w15:appearance w15:val="hidden"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FAB0F5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2638FD5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0919659" w14:textId="7B7EAF23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p w14:paraId="4611C1E2" w14:textId="77777777" w:rsidR="00C72644" w:rsidRDefault="00C72644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</w:p>
          <w:sdt>
            <w:sdtPr>
              <w:rPr>
                <w:rFonts w:cs="Arial"/>
                <w:b/>
                <w:color w:val="000000" w:themeColor="text1"/>
                <w:sz w:val="20"/>
              </w:rPr>
              <w:alias w:val="Domains of Quality "/>
              <w:tag w:val="Domains of Quality"/>
              <w:id w:val="-1722971606"/>
              <w:placeholder>
                <w:docPart w:val="9984687766834DA69FFD0AA53AF73D37"/>
              </w:placeholder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>
              <w:rPr>
                <w:color w:val="00A3E4" w:themeColor="accent2"/>
              </w:rPr>
            </w:sdtEndPr>
            <w:sdtContent>
              <w:p w14:paraId="4C41C878" w14:textId="084838A8" w:rsidR="00B749DB" w:rsidRPr="0037000B" w:rsidRDefault="00C72644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0000" w:themeColor="text1"/>
                    <w:sz w:val="20"/>
                  </w:rPr>
                  <w:t>Patient Centred</w:t>
                </w:r>
              </w:p>
            </w:sdtContent>
          </w:sdt>
          <w:p w14:paraId="12B49244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76DF9A1" w14:textId="77777777" w:rsidR="00B749DB" w:rsidRDefault="00B749DB" w:rsidP="00B749DB">
      <w:pPr>
        <w:rPr>
          <w:rFonts w:cs="Arial"/>
          <w:sz w:val="20"/>
        </w:rPr>
      </w:pPr>
    </w:p>
    <w:p w14:paraId="610E7F23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6"/>
      </w:tblGrid>
      <w:tr w:rsidR="00B749DB" w:rsidRPr="00CD0A93" w14:paraId="6BD332CD" w14:textId="77777777" w:rsidTr="00E212B0">
        <w:trPr>
          <w:trHeight w:val="1295"/>
        </w:trPr>
        <w:tc>
          <w:tcPr>
            <w:tcW w:w="10512" w:type="dxa"/>
          </w:tcPr>
          <w:p w14:paraId="04303FE7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B749DB" w14:paraId="16F98123" w14:textId="77777777" w:rsidTr="00E212B0">
              <w:tc>
                <w:tcPr>
                  <w:tcW w:w="5143" w:type="dxa"/>
                </w:tcPr>
                <w:p w14:paraId="4A1040C2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143" w:type="dxa"/>
                </w:tcPr>
                <w:p w14:paraId="6C912306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21716FBE" w14:textId="77777777" w:rsidTr="00E212B0">
              <w:tc>
                <w:tcPr>
                  <w:tcW w:w="5143" w:type="dxa"/>
                </w:tcPr>
                <w:p w14:paraId="197447C8" w14:textId="697F90F0" w:rsidR="00B749DB" w:rsidRDefault="00C72644" w:rsidP="00E212B0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 xml:space="preserve">Falls Per 1000 Patient </w:t>
                  </w:r>
                  <w:r w:rsidR="004A07EF">
                    <w:rPr>
                      <w:rFonts w:cs="Arial"/>
                      <w:color w:val="000000" w:themeColor="text1"/>
                      <w:sz w:val="20"/>
                    </w:rPr>
                    <w:t>Visits</w:t>
                  </w:r>
                </w:p>
              </w:tc>
              <w:tc>
                <w:tcPr>
                  <w:tcW w:w="5143" w:type="dxa"/>
                </w:tcPr>
                <w:p w14:paraId="1CF29601" w14:textId="4CA8937F" w:rsidR="00B749DB" w:rsidRPr="00C72644" w:rsidRDefault="00C72644" w:rsidP="00C72644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C72644">
                    <w:rPr>
                      <w:rFonts w:cs="Arial"/>
                      <w:color w:val="000000" w:themeColor="text1"/>
                      <w:sz w:val="20"/>
                    </w:rPr>
                    <w:t>Below the NDNQI Be</w:t>
                  </w:r>
                  <w:r w:rsidR="00E5485A">
                    <w:rPr>
                      <w:rFonts w:cs="Arial"/>
                      <w:color w:val="000000" w:themeColor="text1"/>
                      <w:sz w:val="20"/>
                    </w:rPr>
                    <w:t>n</w:t>
                  </w:r>
                  <w:r w:rsidRPr="00C72644">
                    <w:rPr>
                      <w:rFonts w:cs="Arial"/>
                      <w:color w:val="000000" w:themeColor="text1"/>
                      <w:sz w:val="20"/>
                    </w:rPr>
                    <w:t>chmark</w:t>
                  </w:r>
                </w:p>
              </w:tc>
            </w:tr>
          </w:tbl>
          <w:p w14:paraId="17D89B86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  <w:bookmarkStart w:id="0" w:name="_GoBack"/>
            <w:bookmarkEnd w:id="0"/>
          </w:p>
        </w:tc>
      </w:tr>
      <w:tr w:rsidR="00B749DB" w:rsidRPr="00CD0A93" w14:paraId="125E6A13" w14:textId="77777777" w:rsidTr="00E212B0">
        <w:trPr>
          <w:trHeight w:val="1894"/>
        </w:trPr>
        <w:tc>
          <w:tcPr>
            <w:tcW w:w="10512" w:type="dxa"/>
          </w:tcPr>
          <w:p w14:paraId="2050DB7C" w14:textId="1709EC0B" w:rsidR="00B749D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lastRenderedPageBreak/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72B115D8" w14:textId="77777777" w:rsidR="00E5485A" w:rsidRPr="00DD439D" w:rsidRDefault="00E5485A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49F6B3DC" w14:textId="77777777" w:rsidR="00B749DB" w:rsidRPr="00E5485A" w:rsidRDefault="00E5485A" w:rsidP="00E5485A">
            <w:pPr>
              <w:pStyle w:val="ListParagraph"/>
              <w:numPr>
                <w:ilvl w:val="0"/>
                <w:numId w:val="30"/>
              </w:numPr>
              <w:ind w:left="321"/>
              <w:rPr>
                <w:rFonts w:cs="Arial"/>
                <w:color w:val="000000" w:themeColor="text1"/>
                <w:sz w:val="16"/>
              </w:rPr>
            </w:pPr>
            <w:r w:rsidRPr="00E5485A">
              <w:rPr>
                <w:rFonts w:cs="Arial"/>
                <w:color w:val="000000" w:themeColor="text1"/>
                <w:sz w:val="20"/>
                <w:szCs w:val="20"/>
              </w:rPr>
              <w:t>Formulation of a taskforce group including nurses and radiation therapists.</w:t>
            </w:r>
          </w:p>
          <w:p w14:paraId="7A3C1AF5" w14:textId="77777777" w:rsidR="00E5485A" w:rsidRPr="00E5485A" w:rsidRDefault="00E5485A" w:rsidP="00E5485A">
            <w:pPr>
              <w:pStyle w:val="ListParagraph"/>
              <w:numPr>
                <w:ilvl w:val="0"/>
                <w:numId w:val="30"/>
              </w:numPr>
              <w:ind w:left="321"/>
              <w:rPr>
                <w:rFonts w:cs="Arial"/>
                <w:color w:val="7F7F7F" w:themeColor="text2"/>
                <w:sz w:val="16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In services were </w:t>
            </w:r>
            <w:r w:rsidRPr="00E5485A">
              <w:rPr>
                <w:rFonts w:cs="Arial"/>
                <w:color w:val="000000" w:themeColor="text1"/>
                <w:sz w:val="20"/>
                <w:szCs w:val="20"/>
              </w:rPr>
              <w:t>provided on Policies of adult and pediatric fall risk assessment, prevention and management for staff members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38AA671D" w14:textId="6B20C3DF" w:rsidR="00E5485A" w:rsidRPr="00465CB2" w:rsidRDefault="00E5485A" w:rsidP="00465CB2">
            <w:pPr>
              <w:pStyle w:val="ListParagraph"/>
              <w:numPr>
                <w:ilvl w:val="0"/>
                <w:numId w:val="30"/>
              </w:numPr>
              <w:ind w:left="321"/>
              <w:rPr>
                <w:rFonts w:cs="Arial"/>
                <w:color w:val="7F7F7F" w:themeColor="text2"/>
                <w:sz w:val="16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Distribution of </w:t>
            </w:r>
            <w:r w:rsidRPr="00E5485A">
              <w:rPr>
                <w:rFonts w:cs="Arial"/>
                <w:color w:val="000000" w:themeColor="text1"/>
                <w:sz w:val="20"/>
                <w:szCs w:val="20"/>
              </w:rPr>
              <w:t xml:space="preserve">Fall prevention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leaflets </w:t>
            </w:r>
            <w:r w:rsidR="00465CB2">
              <w:rPr>
                <w:rFonts w:cs="Arial"/>
                <w:color w:val="000000" w:themeColor="text1"/>
                <w:sz w:val="20"/>
                <w:szCs w:val="20"/>
              </w:rPr>
              <w:t>to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ambulatory patients.</w:t>
            </w:r>
          </w:p>
          <w:p w14:paraId="63073F37" w14:textId="77777777" w:rsidR="00465CB2" w:rsidRPr="00E5485A" w:rsidRDefault="00465CB2" w:rsidP="00465CB2">
            <w:pPr>
              <w:pStyle w:val="ListParagraph"/>
              <w:numPr>
                <w:ilvl w:val="0"/>
                <w:numId w:val="30"/>
              </w:numPr>
              <w:ind w:left="321"/>
              <w:rPr>
                <w:rFonts w:cs="Arial"/>
                <w:color w:val="7F7F7F" w:themeColor="text2"/>
                <w:sz w:val="16"/>
              </w:rPr>
            </w:pPr>
          </w:p>
          <w:p w14:paraId="38BD01F6" w14:textId="25C2DC67" w:rsidR="00E5485A" w:rsidRPr="00465CB2" w:rsidRDefault="00E5485A" w:rsidP="00E5485A">
            <w:pPr>
              <w:pStyle w:val="ListParagraph"/>
              <w:numPr>
                <w:ilvl w:val="0"/>
                <w:numId w:val="30"/>
              </w:numPr>
              <w:ind w:left="321"/>
              <w:rPr>
                <w:rFonts w:cs="Arial"/>
                <w:color w:val="7F7F7F" w:themeColor="text2"/>
                <w:sz w:val="16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Dissemination of </w:t>
            </w:r>
            <w:r w:rsidRPr="00E5485A">
              <w:rPr>
                <w:rFonts w:cs="Arial"/>
                <w:color w:val="000000" w:themeColor="text1"/>
                <w:sz w:val="20"/>
                <w:szCs w:val="20"/>
              </w:rPr>
              <w:t xml:space="preserve">simple tips to avoid falls by clinic staff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nurse </w:t>
            </w:r>
            <w:r w:rsidRPr="00E5485A">
              <w:rPr>
                <w:rFonts w:cs="Arial"/>
                <w:color w:val="000000" w:themeColor="text1"/>
                <w:sz w:val="20"/>
                <w:szCs w:val="20"/>
              </w:rPr>
              <w:t>t</w:t>
            </w:r>
            <w:r w:rsidR="00465CB2">
              <w:rPr>
                <w:rFonts w:cs="Arial"/>
                <w:color w:val="000000" w:themeColor="text1"/>
                <w:sz w:val="20"/>
                <w:szCs w:val="20"/>
              </w:rPr>
              <w:t xml:space="preserve">hrough the group teaching </w:t>
            </w:r>
            <w:r w:rsidRPr="00E5485A">
              <w:rPr>
                <w:rFonts w:cs="Arial"/>
                <w:color w:val="000000" w:themeColor="text1"/>
                <w:sz w:val="20"/>
                <w:szCs w:val="20"/>
              </w:rPr>
              <w:t xml:space="preserve">held twice a week in all radiation </w:t>
            </w:r>
            <w:r w:rsidR="00465CB2">
              <w:rPr>
                <w:rFonts w:cs="Arial"/>
                <w:color w:val="000000" w:themeColor="text1"/>
                <w:sz w:val="20"/>
                <w:szCs w:val="20"/>
              </w:rPr>
              <w:t xml:space="preserve">patient </w:t>
            </w:r>
            <w:r w:rsidRPr="00E5485A">
              <w:rPr>
                <w:rFonts w:cs="Arial"/>
                <w:color w:val="000000" w:themeColor="text1"/>
                <w:sz w:val="20"/>
                <w:szCs w:val="20"/>
              </w:rPr>
              <w:t>waiting areas.</w:t>
            </w:r>
          </w:p>
          <w:p w14:paraId="3F8E1616" w14:textId="6B4FB006" w:rsidR="00465CB2" w:rsidRPr="00E5485A" w:rsidRDefault="00465CB2" w:rsidP="00465CB2">
            <w:pPr>
              <w:pStyle w:val="ListParagraph"/>
              <w:numPr>
                <w:ilvl w:val="0"/>
                <w:numId w:val="30"/>
              </w:numPr>
              <w:ind w:left="321"/>
              <w:rPr>
                <w:rFonts w:cs="Arial"/>
                <w:color w:val="7F7F7F" w:themeColor="text2"/>
                <w:sz w:val="16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Re-enforce the compliance to Fall Assessment screening in ICIS for adult and pediatric patients</w:t>
            </w:r>
          </w:p>
          <w:p w14:paraId="6E555A45" w14:textId="5B74FBEE" w:rsidR="00E5485A" w:rsidRPr="004A07EF" w:rsidRDefault="00465CB2" w:rsidP="004A07EF">
            <w:pPr>
              <w:pStyle w:val="ListParagraph"/>
              <w:numPr>
                <w:ilvl w:val="0"/>
                <w:numId w:val="30"/>
              </w:numPr>
              <w:ind w:left="321"/>
              <w:rPr>
                <w:rFonts w:cs="Arial"/>
                <w:color w:val="7F7F7F" w:themeColor="text2"/>
                <w:sz w:val="16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Designing </w:t>
            </w:r>
            <w:r w:rsidRPr="00465CB2">
              <w:rPr>
                <w:rFonts w:cs="Arial"/>
                <w:color w:val="000000" w:themeColor="text1"/>
                <w:sz w:val="20"/>
                <w:szCs w:val="20"/>
              </w:rPr>
              <w:t xml:space="preserve">of safety belts to secure patients placed on the exam table in collaboration with upholstery department at KFSH&amp;RC </w:t>
            </w:r>
            <w:r w:rsidR="004A07EF">
              <w:rPr>
                <w:rFonts w:cs="Arial"/>
                <w:color w:val="000000" w:themeColor="text1"/>
                <w:sz w:val="20"/>
                <w:szCs w:val="20"/>
              </w:rPr>
              <w:t>to be used inside clinics and radiation treatment machines</w:t>
            </w:r>
          </w:p>
          <w:p w14:paraId="31F1C4D6" w14:textId="516E1E08" w:rsidR="004A07EF" w:rsidRPr="004A07EF" w:rsidRDefault="004A07EF" w:rsidP="004A07EF">
            <w:pPr>
              <w:pStyle w:val="ListParagraph"/>
              <w:numPr>
                <w:ilvl w:val="0"/>
                <w:numId w:val="30"/>
              </w:numPr>
              <w:ind w:left="321"/>
              <w:rPr>
                <w:rFonts w:cs="Arial"/>
                <w:color w:val="7F7F7F" w:themeColor="text2"/>
                <w:sz w:val="16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Hourly waiting area rounds to check on patients.</w:t>
            </w:r>
          </w:p>
          <w:p w14:paraId="5900E502" w14:textId="2F83CCD2" w:rsidR="004A07EF" w:rsidRPr="00E5485A" w:rsidRDefault="004A07EF" w:rsidP="004A07EF">
            <w:pPr>
              <w:pStyle w:val="ListParagraph"/>
              <w:ind w:left="321"/>
              <w:rPr>
                <w:rFonts w:cs="Arial"/>
                <w:color w:val="7F7F7F" w:themeColor="text2"/>
                <w:sz w:val="16"/>
              </w:rPr>
            </w:pPr>
          </w:p>
        </w:tc>
      </w:tr>
      <w:tr w:rsidR="00B749DB" w:rsidRPr="00CD0A93" w14:paraId="4C64EF4B" w14:textId="77777777" w:rsidTr="004A07EF">
        <w:trPr>
          <w:trHeight w:val="1894"/>
        </w:trPr>
        <w:tc>
          <w:tcPr>
            <w:tcW w:w="10512" w:type="dxa"/>
          </w:tcPr>
          <w:p w14:paraId="4B182767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Results: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78AC85B6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1AF52209" w14:textId="77777777" w:rsidR="00B749DB" w:rsidRDefault="00B749DB" w:rsidP="004A07EF">
            <w:pPr>
              <w:rPr>
                <w:rFonts w:cs="Arial"/>
                <w:color w:val="000000" w:themeColor="text1"/>
                <w:sz w:val="20"/>
              </w:rPr>
            </w:pPr>
          </w:p>
          <w:p w14:paraId="0D929B85" w14:textId="3877529E" w:rsidR="004A07EF" w:rsidRPr="004A07EF" w:rsidRDefault="004A07EF" w:rsidP="004A07EF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4A939B6" wp14:editId="5AE47D19">
                  <wp:extent cx="6586538" cy="2743200"/>
                  <wp:effectExtent l="0" t="0" r="508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14:paraId="573CF001" w14:textId="77777777" w:rsidR="00B749DB" w:rsidRDefault="00B749DB" w:rsidP="00B749DB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B749DB" w:rsidRPr="00CD0A93" w14:paraId="1DEDBE0D" w14:textId="77777777" w:rsidTr="00581F4F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57D03572" w14:textId="77777777" w:rsidR="00B749DB" w:rsidRPr="00CD0A93" w:rsidRDefault="00B749DB" w:rsidP="00E212B0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699F4382" w14:textId="77777777" w:rsidR="00B749DB" w:rsidRPr="001D1B42" w:rsidRDefault="00B749DB" w:rsidP="00E212B0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B749DB" w:rsidRPr="00CD0A93" w14:paraId="412D764A" w14:textId="77777777" w:rsidTr="00E212B0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44A0BACF" w14:textId="77777777" w:rsidR="00B749DB" w:rsidRPr="00E23C1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652B78FB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4FCD1098" w14:textId="77777777" w:rsidR="00B749D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7224474B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  <w:p w14:paraId="09028824" w14:textId="6CB4E0E3" w:rsidR="004A07EF" w:rsidRPr="00CD0A93" w:rsidRDefault="004A07EF" w:rsidP="00E212B0">
            <w:pPr>
              <w:rPr>
                <w:rFonts w:cs="Arial"/>
                <w:color w:val="00A3E4" w:themeColor="accent2"/>
                <w:sz w:val="20"/>
              </w:rPr>
            </w:pPr>
          </w:p>
        </w:tc>
      </w:tr>
      <w:tr w:rsidR="00BF5A2A" w:rsidRPr="00DD439D" w14:paraId="01B2C299" w14:textId="77777777" w:rsidTr="00E212B0">
        <w:trPr>
          <w:trHeight w:val="275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1036400086"/>
            <w:placeholder>
              <w:docPart w:val="D8B78AF6AC634C3B83167E2EEA486700"/>
            </w:placeholder>
            <w15:color w:val="FFFFFF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1FCAFB" w14:textId="5D25BCF4" w:rsidR="00BF5A2A" w:rsidRPr="00DD439D" w:rsidRDefault="004A07EF" w:rsidP="004A07EF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Eman Megahd</w:t>
                </w:r>
                <w:r>
                  <w:rPr>
                    <w:rFonts w:cs="Arial"/>
                    <w:sz w:val="20"/>
                    <w:szCs w:val="20"/>
                  </w:rPr>
                  <w:br/>
                  <w:t>Julie Paulin Pickford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1661838756"/>
            <w:placeholder>
              <w:docPart w:val="4E8365DC850548BD96654F3756A259C5"/>
            </w:placeholder>
            <w15:color w:val="FFFFFF"/>
          </w:sdtPr>
          <w:sdtEndPr/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8BBE19" w14:textId="77777777" w:rsidR="004A07EF" w:rsidRDefault="004A07EF" w:rsidP="004A07EF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Rexi George</w:t>
                </w:r>
              </w:p>
              <w:p w14:paraId="24EEAB6E" w14:textId="77777777" w:rsidR="004A07EF" w:rsidRDefault="004A07EF" w:rsidP="004A07EF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Safaa Morsy</w:t>
                </w:r>
              </w:p>
              <w:p w14:paraId="2672A09A" w14:textId="77777777" w:rsidR="004A07EF" w:rsidRDefault="004A07EF" w:rsidP="004A07EF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Mini Thayyil</w:t>
                </w:r>
              </w:p>
              <w:p w14:paraId="46BAA758" w14:textId="3DF4A042" w:rsidR="00BF5A2A" w:rsidRPr="00581F4F" w:rsidRDefault="004A07EF" w:rsidP="004A07EF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Divia Velalagan</w:t>
                </w:r>
              </w:p>
            </w:tc>
          </w:sdtContent>
        </w:sdt>
      </w:tr>
    </w:tbl>
    <w:p w14:paraId="41E02313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30FB5" w14:textId="77777777" w:rsidR="00A753D7" w:rsidRDefault="00A753D7" w:rsidP="00DA3815">
      <w:pPr>
        <w:spacing w:line="240" w:lineRule="auto"/>
      </w:pPr>
      <w:r>
        <w:separator/>
      </w:r>
    </w:p>
  </w:endnote>
  <w:endnote w:type="continuationSeparator" w:id="0">
    <w:p w14:paraId="5D5D1958" w14:textId="77777777" w:rsidR="00A753D7" w:rsidRDefault="00A753D7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4277F" w14:textId="77777777" w:rsidR="00A753D7" w:rsidRDefault="00A753D7" w:rsidP="00DA3815">
      <w:pPr>
        <w:spacing w:line="240" w:lineRule="auto"/>
      </w:pPr>
      <w:r>
        <w:separator/>
      </w:r>
    </w:p>
  </w:footnote>
  <w:footnote w:type="continuationSeparator" w:id="0">
    <w:p w14:paraId="34358CA4" w14:textId="77777777" w:rsidR="00A753D7" w:rsidRDefault="00A753D7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23FAF"/>
    <w:multiLevelType w:val="hybridMultilevel"/>
    <w:tmpl w:val="F3B04726"/>
    <w:lvl w:ilvl="0" w:tplc="06DCA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7"/>
  </w:num>
  <w:num w:numId="5">
    <w:abstractNumId w:val="19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24"/>
  </w:num>
  <w:num w:numId="12">
    <w:abstractNumId w:val="23"/>
  </w:num>
  <w:num w:numId="13">
    <w:abstractNumId w:val="3"/>
  </w:num>
  <w:num w:numId="14">
    <w:abstractNumId w:val="16"/>
  </w:num>
  <w:num w:numId="15">
    <w:abstractNumId w:val="17"/>
  </w:num>
  <w:num w:numId="16">
    <w:abstractNumId w:val="28"/>
  </w:num>
  <w:num w:numId="17">
    <w:abstractNumId w:val="18"/>
  </w:num>
  <w:num w:numId="18">
    <w:abstractNumId w:val="1"/>
  </w:num>
  <w:num w:numId="19">
    <w:abstractNumId w:val="15"/>
  </w:num>
  <w:num w:numId="20">
    <w:abstractNumId w:val="8"/>
  </w:num>
  <w:num w:numId="21">
    <w:abstractNumId w:val="22"/>
  </w:num>
  <w:num w:numId="22">
    <w:abstractNumId w:val="14"/>
  </w:num>
  <w:num w:numId="23">
    <w:abstractNumId w:val="10"/>
  </w:num>
  <w:num w:numId="24">
    <w:abstractNumId w:val="11"/>
  </w:num>
  <w:num w:numId="25">
    <w:abstractNumId w:val="29"/>
  </w:num>
  <w:num w:numId="26">
    <w:abstractNumId w:val="25"/>
  </w:num>
  <w:num w:numId="27">
    <w:abstractNumId w:val="9"/>
  </w:num>
  <w:num w:numId="28">
    <w:abstractNumId w:val="26"/>
  </w:num>
  <w:num w:numId="29">
    <w:abstractNumId w:val="2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76024"/>
    <w:rsid w:val="0008253B"/>
    <w:rsid w:val="00097EAF"/>
    <w:rsid w:val="000D71CC"/>
    <w:rsid w:val="000E06C4"/>
    <w:rsid w:val="000F31F0"/>
    <w:rsid w:val="001244EA"/>
    <w:rsid w:val="00125AEE"/>
    <w:rsid w:val="001942D3"/>
    <w:rsid w:val="001C31B9"/>
    <w:rsid w:val="001D1B42"/>
    <w:rsid w:val="001E18CF"/>
    <w:rsid w:val="001E7C56"/>
    <w:rsid w:val="0023755E"/>
    <w:rsid w:val="00274E65"/>
    <w:rsid w:val="00294548"/>
    <w:rsid w:val="00297D61"/>
    <w:rsid w:val="00303D94"/>
    <w:rsid w:val="00321654"/>
    <w:rsid w:val="00327276"/>
    <w:rsid w:val="0035648C"/>
    <w:rsid w:val="00362771"/>
    <w:rsid w:val="00363BB4"/>
    <w:rsid w:val="0037000B"/>
    <w:rsid w:val="00374354"/>
    <w:rsid w:val="00377B5B"/>
    <w:rsid w:val="003D4C9D"/>
    <w:rsid w:val="004354BE"/>
    <w:rsid w:val="00440AFE"/>
    <w:rsid w:val="00465CB2"/>
    <w:rsid w:val="004714F0"/>
    <w:rsid w:val="004910B3"/>
    <w:rsid w:val="00493ED8"/>
    <w:rsid w:val="004A07EF"/>
    <w:rsid w:val="004D2577"/>
    <w:rsid w:val="00504D15"/>
    <w:rsid w:val="00511D7C"/>
    <w:rsid w:val="00522F51"/>
    <w:rsid w:val="0052368C"/>
    <w:rsid w:val="00547293"/>
    <w:rsid w:val="00570D98"/>
    <w:rsid w:val="00581F4F"/>
    <w:rsid w:val="00597FE0"/>
    <w:rsid w:val="005F78B0"/>
    <w:rsid w:val="00616BAB"/>
    <w:rsid w:val="00642462"/>
    <w:rsid w:val="0065184C"/>
    <w:rsid w:val="006C3F74"/>
    <w:rsid w:val="006C5CC5"/>
    <w:rsid w:val="006D63B1"/>
    <w:rsid w:val="007458B8"/>
    <w:rsid w:val="00760950"/>
    <w:rsid w:val="0076391E"/>
    <w:rsid w:val="007D68EF"/>
    <w:rsid w:val="0080056A"/>
    <w:rsid w:val="00847F33"/>
    <w:rsid w:val="00893D1B"/>
    <w:rsid w:val="008B786E"/>
    <w:rsid w:val="008E6640"/>
    <w:rsid w:val="00923B4A"/>
    <w:rsid w:val="00944197"/>
    <w:rsid w:val="00964042"/>
    <w:rsid w:val="0097107A"/>
    <w:rsid w:val="00981B8B"/>
    <w:rsid w:val="009A5985"/>
    <w:rsid w:val="009B1578"/>
    <w:rsid w:val="009B76B3"/>
    <w:rsid w:val="009C47EA"/>
    <w:rsid w:val="009C4B13"/>
    <w:rsid w:val="009E10A3"/>
    <w:rsid w:val="00A11756"/>
    <w:rsid w:val="00A22B24"/>
    <w:rsid w:val="00A2683F"/>
    <w:rsid w:val="00A70EA8"/>
    <w:rsid w:val="00A753D7"/>
    <w:rsid w:val="00AE2E61"/>
    <w:rsid w:val="00AF2E89"/>
    <w:rsid w:val="00B236BD"/>
    <w:rsid w:val="00B57125"/>
    <w:rsid w:val="00B67535"/>
    <w:rsid w:val="00B749DB"/>
    <w:rsid w:val="00BD5296"/>
    <w:rsid w:val="00BE35DC"/>
    <w:rsid w:val="00BE6482"/>
    <w:rsid w:val="00BF3E2E"/>
    <w:rsid w:val="00BF5A2A"/>
    <w:rsid w:val="00C345DC"/>
    <w:rsid w:val="00C441A9"/>
    <w:rsid w:val="00C52245"/>
    <w:rsid w:val="00C72644"/>
    <w:rsid w:val="00C7337A"/>
    <w:rsid w:val="00C84A93"/>
    <w:rsid w:val="00C94ACA"/>
    <w:rsid w:val="00CB75A8"/>
    <w:rsid w:val="00CC0AD8"/>
    <w:rsid w:val="00CD0A93"/>
    <w:rsid w:val="00D1655C"/>
    <w:rsid w:val="00DA3815"/>
    <w:rsid w:val="00DD439D"/>
    <w:rsid w:val="00E23C1B"/>
    <w:rsid w:val="00E53924"/>
    <w:rsid w:val="00E5485A"/>
    <w:rsid w:val="00EB0D7B"/>
    <w:rsid w:val="00ED38E1"/>
    <w:rsid w:val="00F11F8C"/>
    <w:rsid w:val="00F3533A"/>
    <w:rsid w:val="00F63B9D"/>
    <w:rsid w:val="00F66496"/>
    <w:rsid w:val="00F74338"/>
    <w:rsid w:val="00FC3EA3"/>
    <w:rsid w:val="00FE0DBA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chartTrackingRefBased/>
  <w15:docId w15:val="{0E3354EA-5A07-437B-8E82-1894E21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tx1"/>
                </a:solidFill>
              </a:rPr>
              <a:t>Radiation</a:t>
            </a:r>
            <a:r>
              <a:rPr lang="en-US" b="1" baseline="0">
                <a:solidFill>
                  <a:schemeClr val="tx1"/>
                </a:solidFill>
              </a:rPr>
              <a:t> Therapy Flls Rate Per 1,000 Patient Visits</a:t>
            </a:r>
            <a:endParaRPr lang="en-US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Sheet1!$D$364</c:f>
              <c:strCache>
                <c:ptCount val="1"/>
                <c:pt idx="0">
                  <c:v>Radiation Therapy Falls Rate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Sheet1!$C$365:$C$373</c:f>
              <c:strCache>
                <c:ptCount val="9"/>
                <c:pt idx="0">
                  <c:v>3Q 2015</c:v>
                </c:pt>
                <c:pt idx="1">
                  <c:v>4Q 2015</c:v>
                </c:pt>
                <c:pt idx="2">
                  <c:v>1Q 2016</c:v>
                </c:pt>
                <c:pt idx="3">
                  <c:v>2Q 2016</c:v>
                </c:pt>
                <c:pt idx="4">
                  <c:v>3Q 2016</c:v>
                </c:pt>
                <c:pt idx="5">
                  <c:v>4Q 2016</c:v>
                </c:pt>
                <c:pt idx="6">
                  <c:v>1Q 2017</c:v>
                </c:pt>
                <c:pt idx="7">
                  <c:v>2Q 2017</c:v>
                </c:pt>
                <c:pt idx="8">
                  <c:v>3Q 2017</c:v>
                </c:pt>
              </c:strCache>
            </c:strRef>
          </c:cat>
          <c:val>
            <c:numRef>
              <c:f>Sheet1!$D$365:$D$373</c:f>
              <c:numCache>
                <c:formatCode>General</c:formatCode>
                <c:ptCount val="9"/>
                <c:pt idx="0">
                  <c:v>0.11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0.35</c:v>
                </c:pt>
                <c:pt idx="5">
                  <c:v>0.11</c:v>
                </c:pt>
                <c:pt idx="6">
                  <c:v>0.1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82-4E96-959C-A91AE0DF9D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30316048"/>
        <c:axId val="430312720"/>
      </c:barChart>
      <c:lineChart>
        <c:grouping val="standard"/>
        <c:varyColors val="0"/>
        <c:ser>
          <c:idx val="1"/>
          <c:order val="1"/>
          <c:tx>
            <c:strRef>
              <c:f>Sheet1!$E$364</c:f>
              <c:strCache>
                <c:ptCount val="1"/>
                <c:pt idx="0">
                  <c:v>NDNQI Benchmark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Sheet1!$C$365:$C$373</c:f>
              <c:strCache>
                <c:ptCount val="9"/>
                <c:pt idx="0">
                  <c:v>3Q 2015</c:v>
                </c:pt>
                <c:pt idx="1">
                  <c:v>4Q 2015</c:v>
                </c:pt>
                <c:pt idx="2">
                  <c:v>1Q 2016</c:v>
                </c:pt>
                <c:pt idx="3">
                  <c:v>2Q 2016</c:v>
                </c:pt>
                <c:pt idx="4">
                  <c:v>3Q 2016</c:v>
                </c:pt>
                <c:pt idx="5">
                  <c:v>4Q 2016</c:v>
                </c:pt>
                <c:pt idx="6">
                  <c:v>1Q 2017</c:v>
                </c:pt>
                <c:pt idx="7">
                  <c:v>2Q 2017</c:v>
                </c:pt>
                <c:pt idx="8">
                  <c:v>3Q 2017</c:v>
                </c:pt>
              </c:strCache>
            </c:strRef>
          </c:cat>
          <c:val>
            <c:numRef>
              <c:f>Sheet1!$E$365:$E$373</c:f>
              <c:numCache>
                <c:formatCode>General</c:formatCode>
                <c:ptCount val="9"/>
                <c:pt idx="0">
                  <c:v>0.16</c:v>
                </c:pt>
                <c:pt idx="1">
                  <c:v>0.09</c:v>
                </c:pt>
                <c:pt idx="2">
                  <c:v>0.09</c:v>
                </c:pt>
                <c:pt idx="3">
                  <c:v>0.11</c:v>
                </c:pt>
                <c:pt idx="4">
                  <c:v>0.12</c:v>
                </c:pt>
                <c:pt idx="5">
                  <c:v>0.1</c:v>
                </c:pt>
                <c:pt idx="6">
                  <c:v>0.15</c:v>
                </c:pt>
                <c:pt idx="7">
                  <c:v>0.16</c:v>
                </c:pt>
                <c:pt idx="8">
                  <c:v>0.12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682-4E96-959C-A91AE0DF9D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0316048"/>
        <c:axId val="430312720"/>
      </c:lineChart>
      <c:catAx>
        <c:axId val="43031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0312720"/>
        <c:crosses val="autoZero"/>
        <c:auto val="1"/>
        <c:lblAlgn val="ctr"/>
        <c:lblOffset val="100"/>
        <c:noMultiLvlLbl val="0"/>
      </c:catAx>
      <c:valAx>
        <c:axId val="430312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0316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420166709734309"/>
          <c:y val="0.89409667541557303"/>
          <c:w val="0.73809943858215044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8ED80BC991498787523AB3EAFE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FC97-FFB1-4BFC-9C28-5AFC1DDEA09A}"/>
      </w:docPartPr>
      <w:docPartBody>
        <w:p w:rsidR="007E62B5" w:rsidRDefault="00E17380" w:rsidP="00E17380">
          <w:pPr>
            <w:pStyle w:val="EA8ED80BC991498787523AB3EAFE7885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ACACAC12DFCC4BB1A5A2BEE76781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248A9-1E0A-4613-A61B-C9BE8EA15500}"/>
      </w:docPartPr>
      <w:docPartBody>
        <w:p w:rsidR="007E62B5" w:rsidRDefault="00E17380" w:rsidP="00E17380">
          <w:pPr>
            <w:pStyle w:val="ACACAC12DFCC4BB1A5A2BEE76781DBE31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7D7E0C4C634AC2A74DA710C57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28B9-BE5E-4340-84BF-8C1220A34859}"/>
      </w:docPartPr>
      <w:docPartBody>
        <w:p w:rsidR="007E62B5" w:rsidRDefault="00E17380" w:rsidP="00E17380">
          <w:pPr>
            <w:pStyle w:val="247D7E0C4C634AC2A74DA710C573D65D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6007E9E1FE0D4368B949A2BCD847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75EE-C920-4BB1-8282-A30E081F4EAA}"/>
      </w:docPartPr>
      <w:docPartBody>
        <w:p w:rsidR="007E62B5" w:rsidRDefault="00E17380" w:rsidP="00E17380">
          <w:pPr>
            <w:pStyle w:val="6007E9E1FE0D4368B949A2BCD8478B59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7AE122A2FA554CE499C47993957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6A60-01F4-4AEA-8FAC-85020F972B02}"/>
      </w:docPartPr>
      <w:docPartBody>
        <w:p w:rsidR="007E62B5" w:rsidRDefault="00E17380" w:rsidP="00E17380">
          <w:pPr>
            <w:pStyle w:val="7AE122A2FA554CE499C47993957D33B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A6D9AA506F154435A3CECC4CED4F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475B-CC56-4C72-BCB4-D6D3A481102A}"/>
      </w:docPartPr>
      <w:docPartBody>
        <w:p w:rsidR="007E62B5" w:rsidRDefault="00E17380" w:rsidP="00E17380">
          <w:pPr>
            <w:pStyle w:val="A6D9AA506F154435A3CECC4CED4F6AB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B59BA503D13F4DDEB787B45EE661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DB00-EF70-40F2-9FC0-32B6587375C4}"/>
      </w:docPartPr>
      <w:docPartBody>
        <w:p w:rsidR="007E62B5" w:rsidRDefault="00E17380" w:rsidP="00E17380">
          <w:pPr>
            <w:pStyle w:val="B59BA503D13F4DDEB787B45EE66127B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CB3D243DB094DA4B385F171D6AE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467D-B793-402E-8CC2-0E2F4C1C8BF4}"/>
      </w:docPartPr>
      <w:docPartBody>
        <w:p w:rsidR="007E62B5" w:rsidRDefault="00E17380" w:rsidP="00E17380">
          <w:pPr>
            <w:pStyle w:val="1CB3D243DB094DA4B385F171D6AEE5F21"/>
          </w:pPr>
          <w:r w:rsidRPr="0037000B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984687766834DA69FFD0AA53AF7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4D22C-A15F-4E80-B101-927F2F3F886F}"/>
      </w:docPartPr>
      <w:docPartBody>
        <w:p w:rsidR="007E62B5" w:rsidRDefault="00E17380" w:rsidP="00E17380">
          <w:pPr>
            <w:pStyle w:val="9984687766834DA69FFD0AA53AF73D371"/>
          </w:pPr>
          <w:r w:rsidRPr="00581F4F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D8B78AF6AC634C3B83167E2EEA486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B1431-371A-4DA2-A237-22FF3E22D9E2}"/>
      </w:docPartPr>
      <w:docPartBody>
        <w:p w:rsidR="007E62B5" w:rsidRDefault="00E17380" w:rsidP="00E17380">
          <w:pPr>
            <w:pStyle w:val="D8B78AF6AC634C3B83167E2EEA486700"/>
          </w:pPr>
          <w:r w:rsidRPr="00581F4F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E8365DC850548BD96654F3756A25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9ED53-B7AA-47BD-B27C-9FBCAB22F487}"/>
      </w:docPartPr>
      <w:docPartBody>
        <w:p w:rsidR="007E62B5" w:rsidRDefault="00E17380" w:rsidP="00E17380">
          <w:pPr>
            <w:pStyle w:val="4E8365DC850548BD96654F3756A259C5"/>
          </w:pPr>
          <w:r w:rsidRPr="00581F4F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0EF5472702C47F39AD9FE8B00EA8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C145F-5D26-46A2-9F95-6F80FA5F826C}"/>
      </w:docPartPr>
      <w:docPartBody>
        <w:p w:rsidR="00000000" w:rsidRDefault="00D25E68" w:rsidP="00D25E68">
          <w:pPr>
            <w:pStyle w:val="E0EF5472702C47F39AD9FE8B00EA84FB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E1"/>
    <w:rsid w:val="00052703"/>
    <w:rsid w:val="0013145F"/>
    <w:rsid w:val="004C412D"/>
    <w:rsid w:val="007E62B5"/>
    <w:rsid w:val="009C63E1"/>
    <w:rsid w:val="00A10222"/>
    <w:rsid w:val="00B254DF"/>
    <w:rsid w:val="00BC5EC8"/>
    <w:rsid w:val="00C253A4"/>
    <w:rsid w:val="00CC3F6B"/>
    <w:rsid w:val="00CC6684"/>
    <w:rsid w:val="00D25E68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5E68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  <w:style w:type="paragraph" w:customStyle="1" w:styleId="E0EF5472702C47F39AD9FE8B00EA84FB">
    <w:name w:val="E0EF5472702C47F39AD9FE8B00EA84FB"/>
    <w:rsid w:val="00D25E6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24AAF-73EF-4D28-A2F2-B14B94D9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3</cp:revision>
  <cp:lastPrinted>2017-12-31T20:40:00Z</cp:lastPrinted>
  <dcterms:created xsi:type="dcterms:W3CDTF">2018-03-28T10:26:00Z</dcterms:created>
  <dcterms:modified xsi:type="dcterms:W3CDTF">2018-03-28T11:41:00Z</dcterms:modified>
</cp:coreProperties>
</file>