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2AB7D532" w:rsidR="00C476C9" w:rsidRPr="00714581" w:rsidRDefault="007F6DC7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r>
              <w:rPr>
                <w:rFonts w:cs="Arial"/>
                <w:bCs/>
                <w:sz w:val="20"/>
                <w:szCs w:val="20"/>
              </w:rPr>
              <w:t>Returned for Correction Transactions</w:t>
            </w:r>
            <w:bookmarkEnd w:id="0"/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327FD02B" w:rsidR="00B749DB" w:rsidRPr="00321654" w:rsidRDefault="00743D8D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743D8D">
                  <w:rPr>
                    <w:rFonts w:cs="Arial"/>
                    <w:sz w:val="20"/>
                    <w:szCs w:val="20"/>
                    <w:lang w:val="en-US"/>
                  </w:rPr>
                  <w:t>Human Resource Services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9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78048EB2" w:rsidR="00B749DB" w:rsidRPr="00321654" w:rsidRDefault="00743D8D" w:rsidP="00743D8D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02-09-2017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2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B21FD27" w:rsidR="00B749DB" w:rsidRPr="00321654" w:rsidRDefault="00743D8D" w:rsidP="00743D8D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E646E21" w14:textId="77777777" w:rsidR="00EE7E7A" w:rsidRDefault="00EE7E7A" w:rsidP="00963958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410F800" w14:textId="5D7C03D8" w:rsidR="00743D8D" w:rsidRPr="00743D8D" w:rsidRDefault="00E61C65" w:rsidP="0041410C">
            <w:pPr>
              <w:rPr>
                <w:rFonts w:cs="Arial"/>
                <w:sz w:val="20"/>
                <w:szCs w:val="20"/>
                <w:lang w:val="en-US"/>
              </w:rPr>
            </w:pPr>
            <w:r w:rsidRPr="00E61C65">
              <w:rPr>
                <w:rFonts w:cs="Arial"/>
                <w:sz w:val="20"/>
                <w:szCs w:val="20"/>
                <w:lang w:val="en-US"/>
              </w:rPr>
              <w:t xml:space="preserve">Due to diversity of </w:t>
            </w:r>
            <w:r w:rsidR="0041410C">
              <w:rPr>
                <w:rFonts w:cs="Arial"/>
                <w:sz w:val="20"/>
                <w:szCs w:val="20"/>
                <w:lang w:val="en-US"/>
              </w:rPr>
              <w:t>benefits transaction,</w:t>
            </w:r>
            <w:r w:rsidRPr="00E61C65">
              <w:rPr>
                <w:rFonts w:cs="Arial"/>
                <w:sz w:val="20"/>
                <w:szCs w:val="20"/>
                <w:lang w:val="en-US"/>
              </w:rPr>
              <w:t xml:space="preserve"> different</w:t>
            </w:r>
            <w:r w:rsidR="0041410C">
              <w:rPr>
                <w:rFonts w:cs="Arial"/>
                <w:sz w:val="20"/>
                <w:szCs w:val="20"/>
                <w:lang w:val="en-US"/>
              </w:rPr>
              <w:t xml:space="preserve"> related</w:t>
            </w:r>
            <w:r w:rsidRPr="00E61C65">
              <w:rPr>
                <w:rFonts w:cs="Arial"/>
                <w:sz w:val="20"/>
                <w:szCs w:val="20"/>
                <w:lang w:val="en-US"/>
              </w:rPr>
              <w:t xml:space="preserve"> policies &amp; procedures </w:t>
            </w:r>
            <w:r w:rsidR="00963958">
              <w:rPr>
                <w:rFonts w:cs="Arial"/>
                <w:sz w:val="20"/>
                <w:szCs w:val="20"/>
                <w:lang w:val="en-US"/>
              </w:rPr>
              <w:t xml:space="preserve">and </w:t>
            </w:r>
            <w:r w:rsidR="00963958" w:rsidRPr="00963958">
              <w:rPr>
                <w:rFonts w:cs="Arial"/>
                <w:sz w:val="20"/>
                <w:szCs w:val="20"/>
                <w:lang w:val="en-US"/>
              </w:rPr>
              <w:t xml:space="preserve">lack of </w:t>
            </w:r>
            <w:r w:rsidR="0041410C">
              <w:rPr>
                <w:rFonts w:cs="Arial"/>
                <w:sz w:val="20"/>
                <w:szCs w:val="20"/>
                <w:lang w:val="en-US"/>
              </w:rPr>
              <w:t>clear guideline /procedures to abide</w:t>
            </w:r>
            <w:r w:rsidR="00963958">
              <w:rPr>
                <w:rFonts w:cs="Arial"/>
                <w:sz w:val="20"/>
                <w:szCs w:val="20"/>
                <w:lang w:val="en-US"/>
              </w:rPr>
              <w:t>,</w:t>
            </w:r>
            <w:r w:rsidRPr="00E61C65">
              <w:rPr>
                <w:rFonts w:cs="Arial"/>
                <w:sz w:val="20"/>
                <w:szCs w:val="20"/>
                <w:lang w:val="en-US"/>
              </w:rPr>
              <w:t xml:space="preserve"> benefits staff are always vulnerable to commit unintentional mistakes with financial impact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  <w:r w:rsidRPr="00E61C6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63958">
              <w:rPr>
                <w:rFonts w:cs="Arial"/>
                <w:sz w:val="20"/>
                <w:szCs w:val="20"/>
                <w:lang w:val="en-US"/>
              </w:rPr>
              <w:t>Therefore, this</w:t>
            </w:r>
            <w:r w:rsidR="00743D8D" w:rsidRPr="00743D8D">
              <w:rPr>
                <w:rFonts w:cs="Arial"/>
                <w:sz w:val="20"/>
                <w:szCs w:val="20"/>
                <w:lang w:val="en-US"/>
              </w:rPr>
              <w:t xml:space="preserve"> project </w:t>
            </w:r>
            <w:r w:rsidR="00963958">
              <w:rPr>
                <w:rFonts w:cs="Arial"/>
                <w:sz w:val="20"/>
                <w:szCs w:val="20"/>
                <w:lang w:val="en-US"/>
              </w:rPr>
              <w:t xml:space="preserve">was selected to </w:t>
            </w:r>
            <w:r w:rsidR="00743D8D" w:rsidRPr="00743D8D">
              <w:rPr>
                <w:rFonts w:cs="Arial"/>
                <w:sz w:val="20"/>
                <w:szCs w:val="20"/>
                <w:lang w:val="en-US"/>
              </w:rPr>
              <w:t xml:space="preserve">encourage HRS employees to </w:t>
            </w:r>
            <w:r w:rsidR="0041410C">
              <w:rPr>
                <w:rFonts w:cs="Arial"/>
                <w:sz w:val="20"/>
                <w:szCs w:val="20"/>
                <w:lang w:val="en-US"/>
              </w:rPr>
              <w:t>be in compliance</w:t>
            </w:r>
            <w:r w:rsidR="00743D8D" w:rsidRPr="00743D8D">
              <w:rPr>
                <w:rFonts w:cs="Arial"/>
                <w:sz w:val="20"/>
                <w:szCs w:val="20"/>
                <w:lang w:val="en-US"/>
              </w:rPr>
              <w:t xml:space="preserve"> with all policies and procedures</w:t>
            </w:r>
            <w:r w:rsidR="0041410C">
              <w:rPr>
                <w:rFonts w:cs="Arial"/>
                <w:sz w:val="20"/>
                <w:szCs w:val="20"/>
                <w:lang w:val="en-US"/>
              </w:rPr>
              <w:t>; this</w:t>
            </w:r>
            <w:r w:rsidR="00743D8D" w:rsidRPr="00743D8D">
              <w:rPr>
                <w:rFonts w:cs="Arial"/>
                <w:sz w:val="20"/>
                <w:szCs w:val="20"/>
                <w:lang w:val="en-US"/>
              </w:rPr>
              <w:t xml:space="preserve"> will save financial los</w:t>
            </w:r>
            <w:r w:rsidR="0041410C">
              <w:rPr>
                <w:rFonts w:cs="Arial"/>
                <w:sz w:val="20"/>
                <w:szCs w:val="20"/>
                <w:lang w:val="en-US"/>
              </w:rPr>
              <w:t>s</w:t>
            </w:r>
            <w:r w:rsidR="00743D8D" w:rsidRPr="00743D8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1410C">
              <w:rPr>
                <w:rFonts w:cs="Arial"/>
                <w:sz w:val="20"/>
                <w:szCs w:val="20"/>
                <w:lang w:val="en-US"/>
              </w:rPr>
              <w:t>due to human error.</w:t>
            </w:r>
          </w:p>
          <w:p w14:paraId="550391E2" w14:textId="161B5A57" w:rsidR="00E61C65" w:rsidRPr="00743D8D" w:rsidRDefault="00E61C65" w:rsidP="00E61C6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256" w:type="dxa"/>
            <w:shd w:val="clear" w:color="auto" w:fill="auto"/>
          </w:tcPr>
          <w:p w14:paraId="5408BE75" w14:textId="77777777" w:rsidR="00EE7E7A" w:rsidRDefault="00B749DB" w:rsidP="00EE7E7A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493FFB1E" w14:textId="77777777" w:rsidR="0041410C" w:rsidRDefault="0041410C" w:rsidP="0041410C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513F7A9" w14:textId="367670B2" w:rsidR="00963958" w:rsidRPr="00EE7E7A" w:rsidRDefault="00EE7E7A" w:rsidP="0041410C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E7E7A">
              <w:rPr>
                <w:rFonts w:cs="Arial"/>
                <w:bCs/>
                <w:color w:val="000000" w:themeColor="text1"/>
                <w:sz w:val="20"/>
                <w:lang w:val="en-US"/>
              </w:rPr>
              <w:t>To decrease</w:t>
            </w:r>
            <w:r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the</w:t>
            </w:r>
            <w:r w:rsidRPr="00EE7E7A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lang w:val="en-US"/>
              </w:rPr>
              <w:t>t</w:t>
            </w:r>
            <w:r w:rsidRPr="00EE7E7A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otal </w:t>
            </w:r>
            <w:r>
              <w:rPr>
                <w:rFonts w:cs="Arial"/>
                <w:bCs/>
                <w:color w:val="000000" w:themeColor="text1"/>
                <w:sz w:val="20"/>
                <w:lang w:val="en-US"/>
              </w:rPr>
              <w:t>n</w:t>
            </w:r>
            <w:r w:rsidRPr="00EE7E7A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umber of </w:t>
            </w:r>
            <w:r w:rsidR="0041410C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“returned for correction” </w:t>
            </w:r>
            <w:r w:rsidRPr="00EE7E7A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transactions </w:t>
            </w:r>
            <w:r w:rsidR="0041410C">
              <w:rPr>
                <w:rFonts w:cs="Arial"/>
                <w:bCs/>
                <w:color w:val="000000" w:themeColor="text1"/>
                <w:sz w:val="20"/>
                <w:lang w:val="en-US"/>
              </w:rPr>
              <w:t>below</w:t>
            </w:r>
            <w:r w:rsidRPr="00EE7E7A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8% by end of 2017.</w:t>
            </w:r>
          </w:p>
          <w:p w14:paraId="7A5A1873" w14:textId="11E7A919" w:rsidR="00E61C65" w:rsidRPr="00963958" w:rsidRDefault="00E61C65" w:rsidP="00963958">
            <w:pPr>
              <w:pStyle w:val="ListParagraph"/>
              <w:rPr>
                <w:rFonts w:cs="Arial"/>
                <w:bCs/>
                <w:color w:val="000000" w:themeColor="text1"/>
                <w:sz w:val="20"/>
                <w:lang w:val="en-US"/>
              </w:rPr>
            </w:pPr>
            <w:r w:rsidRPr="00963958">
              <w:rPr>
                <w:rFonts w:cs="Arial"/>
                <w:bCs/>
                <w:color w:val="000000" w:themeColor="text1"/>
                <w:sz w:val="20"/>
                <w:lang w:val="en-US"/>
              </w:rPr>
              <w:t xml:space="preserve">        </w:t>
            </w:r>
          </w:p>
          <w:p w14:paraId="0EF0C16A" w14:textId="53B3F5BE" w:rsidR="00B749DB" w:rsidRPr="00E61C65" w:rsidRDefault="00B749DB" w:rsidP="00C476C9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6E229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11B1D666" w:rsidR="00B749DB" w:rsidRPr="0037000B" w:rsidRDefault="006E229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65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6E229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6E229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6E229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6E229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783B4394" w:rsidR="00B749DB" w:rsidRPr="0037000B" w:rsidRDefault="00E61C65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1E3DF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197447C8" w14:textId="3A083126" w:rsidR="008E400D" w:rsidRPr="00EE7E7A" w:rsidRDefault="0041410C" w:rsidP="00EE7E7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Percentage of “R</w:t>
                  </w:r>
                  <w:r w:rsidR="00963958" w:rsidRPr="00EE7E7A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 xml:space="preserve">eturned </w:t>
                  </w:r>
                  <w:r w:rsidR="00EE7E7A" w:rsidRPr="00EE7E7A"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for correction</w:t>
                  </w:r>
                  <w:r>
                    <w:rPr>
                      <w:rFonts w:cs="Arial"/>
                      <w:bCs/>
                      <w:color w:val="000000" w:themeColor="text1"/>
                      <w:sz w:val="20"/>
                      <w:lang w:val="en-US"/>
                    </w:rPr>
                    <w:t>” transaction</w:t>
                  </w:r>
                </w:p>
              </w:tc>
              <w:tc>
                <w:tcPr>
                  <w:tcW w:w="5308" w:type="dxa"/>
                </w:tcPr>
                <w:p w14:paraId="1CF29601" w14:textId="42C51909" w:rsidR="00BC6656" w:rsidRPr="00EE7E7A" w:rsidRDefault="00EE7E7A" w:rsidP="00EE7E7A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below 8%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E7E7A">
        <w:trPr>
          <w:trHeight w:val="180"/>
        </w:trPr>
        <w:tc>
          <w:tcPr>
            <w:tcW w:w="1084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43E237B" w14:textId="77777777" w:rsidR="00DE1199" w:rsidRDefault="00DE1199" w:rsidP="00E61C65">
            <w:pPr>
              <w:rPr>
                <w:rFonts w:cs="Arial"/>
                <w:color w:val="7F7F7F" w:themeColor="text2"/>
                <w:sz w:val="16"/>
              </w:rPr>
            </w:pPr>
          </w:p>
          <w:p w14:paraId="3699F7D3" w14:textId="603BF495" w:rsidR="00E61C65" w:rsidRDefault="00F91B6B" w:rsidP="00F91B6B">
            <w:pPr>
              <w:pStyle w:val="ListParagraph"/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 xml:space="preserve">Collect all related information </w:t>
            </w:r>
            <w:r w:rsidR="00E61C65" w:rsidRPr="00DE1199">
              <w:rPr>
                <w:rFonts w:cs="Arial"/>
                <w:color w:val="000000" w:themeColor="text1"/>
                <w:sz w:val="20"/>
                <w:szCs w:val="28"/>
              </w:rPr>
              <w:t xml:space="preserve">to each transaction 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>to take knowledge based actions.</w:t>
            </w:r>
            <w:r w:rsidR="00E61C65" w:rsidRPr="00DE1199">
              <w:rPr>
                <w:rFonts w:cs="Arial"/>
                <w:color w:val="000000" w:themeColor="text1"/>
                <w:sz w:val="20"/>
                <w:szCs w:val="28"/>
              </w:rPr>
              <w:t xml:space="preserve"> </w:t>
            </w:r>
          </w:p>
          <w:p w14:paraId="66578522" w14:textId="325B6E78" w:rsidR="00B260E9" w:rsidRPr="00B260E9" w:rsidRDefault="00B260E9" w:rsidP="00F91B6B">
            <w:pPr>
              <w:pStyle w:val="ListParagraph"/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B260E9">
              <w:rPr>
                <w:rFonts w:cs="Arial"/>
                <w:color w:val="000000" w:themeColor="text1"/>
                <w:sz w:val="20"/>
                <w:szCs w:val="28"/>
              </w:rPr>
              <w:t xml:space="preserve">Develop audit tools and </w:t>
            </w:r>
            <w:r w:rsidR="00F91B6B">
              <w:rPr>
                <w:rFonts w:cs="Arial"/>
                <w:color w:val="000000" w:themeColor="text1"/>
                <w:sz w:val="20"/>
                <w:szCs w:val="28"/>
              </w:rPr>
              <w:t xml:space="preserve">compare </w:t>
            </w:r>
            <w:r w:rsidRPr="00B260E9">
              <w:rPr>
                <w:rFonts w:cs="Arial"/>
                <w:color w:val="000000" w:themeColor="text1"/>
                <w:sz w:val="20"/>
                <w:szCs w:val="28"/>
              </w:rPr>
              <w:t>existing polic</w:t>
            </w:r>
            <w:r w:rsidR="00F91B6B">
              <w:rPr>
                <w:rFonts w:cs="Arial"/>
                <w:color w:val="000000" w:themeColor="text1"/>
                <w:sz w:val="20"/>
                <w:szCs w:val="28"/>
              </w:rPr>
              <w:t>i</w:t>
            </w:r>
            <w:r w:rsidRPr="00B260E9">
              <w:rPr>
                <w:rFonts w:cs="Arial"/>
                <w:color w:val="000000" w:themeColor="text1"/>
                <w:sz w:val="20"/>
                <w:szCs w:val="28"/>
              </w:rPr>
              <w:t xml:space="preserve">es </w:t>
            </w:r>
            <w:r w:rsidR="00F91B6B">
              <w:rPr>
                <w:rFonts w:cs="Arial"/>
                <w:color w:val="000000" w:themeColor="text1"/>
                <w:sz w:val="20"/>
                <w:szCs w:val="28"/>
              </w:rPr>
              <w:t>to current practice.</w:t>
            </w:r>
          </w:p>
          <w:p w14:paraId="1F07325E" w14:textId="5EC56D62" w:rsidR="00BC6656" w:rsidRPr="00DE1199" w:rsidRDefault="00F91B6B" w:rsidP="00DE1199">
            <w:pPr>
              <w:pStyle w:val="ListParagraph"/>
              <w:numPr>
                <w:ilvl w:val="0"/>
                <w:numId w:val="36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>Revision of policies when deemed necessary.</w:t>
            </w:r>
          </w:p>
          <w:p w14:paraId="6B960CA5" w14:textId="77777777" w:rsidR="00BC6656" w:rsidRPr="00DE1199" w:rsidRDefault="00BC6656" w:rsidP="00BC6656">
            <w:pPr>
              <w:rPr>
                <w:rFonts w:cs="Arial"/>
                <w:color w:val="000000" w:themeColor="text1"/>
                <w:sz w:val="20"/>
                <w:szCs w:val="28"/>
              </w:rPr>
            </w:pPr>
          </w:p>
          <w:p w14:paraId="4109497D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5BAB37F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0753854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73069A07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A62BD58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6D26CD7C" w14:textId="3E670479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1237B7D" w14:textId="1945229C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C4D76FE" w14:textId="12DAAA38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69C0E5CE" w14:textId="283D0A45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48BFCB43" w14:textId="00E5AD26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6303C30" w14:textId="0381A574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FB511F7" w14:textId="007EFB7D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2282A8C1" w14:textId="0990AC64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E3220C1" w14:textId="341F5296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30B004BF" w14:textId="77777777" w:rsidR="00E61C65" w:rsidRDefault="00E61C65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71C55BB0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04A61020" w:rsidR="00BC6656" w:rsidRP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B260E9">
        <w:trPr>
          <w:trHeight w:val="9342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A2FD564" w14:textId="03F0F201" w:rsidR="009E461E" w:rsidRDefault="009E461E" w:rsidP="009E461E"/>
          <w:tbl>
            <w:tblPr>
              <w:tblW w:w="10235" w:type="dxa"/>
              <w:tblLook w:val="04A0" w:firstRow="1" w:lastRow="0" w:firstColumn="1" w:lastColumn="0" w:noHBand="0" w:noVBand="1"/>
            </w:tblPr>
            <w:tblGrid>
              <w:gridCol w:w="2320"/>
              <w:gridCol w:w="2260"/>
              <w:gridCol w:w="3495"/>
              <w:gridCol w:w="2160"/>
            </w:tblGrid>
            <w:tr w:rsidR="00DE1199" w:rsidRPr="00DE1199" w14:paraId="58E1E2A0" w14:textId="77777777" w:rsidTr="00F91B6B">
              <w:trPr>
                <w:trHeight w:val="1235"/>
              </w:trPr>
              <w:tc>
                <w:tcPr>
                  <w:tcW w:w="2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6EEFF" w:themeFill="accent2" w:themeFillTint="33"/>
                  <w:noWrap/>
                  <w:vAlign w:val="center"/>
                  <w:hideMark/>
                </w:tcPr>
                <w:p w14:paraId="7B68BFBA" w14:textId="77777777" w:rsidR="00DE1199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val="en-US"/>
                    </w:rPr>
                    <w:t>Quarters</w:t>
                  </w:r>
                </w:p>
                <w:p w14:paraId="18B484E3" w14:textId="46943966" w:rsidR="00DE1199" w:rsidRPr="00DE1199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val="en-US"/>
                    </w:rPr>
                    <w:t>(2017)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EEFF" w:themeFill="accent2" w:themeFillTint="33"/>
                  <w:vAlign w:val="center"/>
                  <w:hideMark/>
                </w:tcPr>
                <w:p w14:paraId="605AC4D1" w14:textId="77777777" w:rsidR="00DE1199" w:rsidRPr="00DE1199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lang w:val="en-US"/>
                    </w:rPr>
                  </w:pPr>
                  <w:r w:rsidRPr="00DE1199">
                    <w:rPr>
                      <w:rFonts w:ascii="Calibri" w:eastAsia="Times New Roman" w:hAnsi="Calibri" w:cs="Calibri"/>
                      <w:b/>
                      <w:bCs/>
                      <w:color w:val="1F497D"/>
                      <w:lang w:val="en-US"/>
                    </w:rPr>
                    <w:t>Total Number of returned for correction transactions</w:t>
                  </w:r>
                </w:p>
              </w:tc>
              <w:tc>
                <w:tcPr>
                  <w:tcW w:w="34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EFF" w:themeFill="accent2" w:themeFillTint="33"/>
                  <w:vAlign w:val="center"/>
                  <w:hideMark/>
                </w:tcPr>
                <w:p w14:paraId="153D634A" w14:textId="77777777" w:rsidR="00DE1199" w:rsidRPr="00DE1199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DE11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Total Number of audited transactions within the set period of time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EFF" w:themeFill="accent2" w:themeFillTint="33"/>
                  <w:noWrap/>
                  <w:vAlign w:val="center"/>
                  <w:hideMark/>
                </w:tcPr>
                <w:p w14:paraId="6F16CDCB" w14:textId="6C60BF43" w:rsidR="00DE1199" w:rsidRPr="00DE1199" w:rsidRDefault="00F91B6B" w:rsidP="00F91B6B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  <w:t>Percentage of “Returned for correction” transaction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  <w:t>s</w:t>
                  </w:r>
                </w:p>
              </w:tc>
            </w:tr>
            <w:tr w:rsidR="00DE1199" w:rsidRPr="00DE1199" w14:paraId="78467851" w14:textId="77777777" w:rsidTr="00DE1199">
              <w:trPr>
                <w:trHeight w:val="256"/>
              </w:trPr>
              <w:tc>
                <w:tcPr>
                  <w:tcW w:w="1023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D7262D7" w14:textId="4E8AA80B" w:rsidR="00DE1199" w:rsidRPr="00DE1199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DE11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Before PI Project Implementation</w:t>
                  </w:r>
                </w:p>
              </w:tc>
            </w:tr>
            <w:tr w:rsidR="00B260E9" w:rsidRPr="00DE1199" w14:paraId="18007537" w14:textId="77777777" w:rsidTr="00F91B6B">
              <w:trPr>
                <w:trHeight w:val="256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EEFF" w:themeFill="accent2" w:themeFillTint="33"/>
                  <w:noWrap/>
                  <w:vAlign w:val="center"/>
                  <w:hideMark/>
                </w:tcPr>
                <w:p w14:paraId="53BE3167" w14:textId="02BFE1C3" w:rsidR="00DE1199" w:rsidRPr="00F91B6B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1st  Quarter</w:t>
                  </w:r>
                  <w:r w:rsidR="00F91B6B" w:rsidRPr="00F91B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2017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27A1429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  <w:t>134</w:t>
                  </w: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0643745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  <w:t>2248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92BC1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  <w:t>5.96%</w:t>
                  </w:r>
                </w:p>
              </w:tc>
            </w:tr>
            <w:tr w:rsidR="00B260E9" w:rsidRPr="00DE1199" w14:paraId="5402ADE1" w14:textId="77777777" w:rsidTr="00F91B6B">
              <w:trPr>
                <w:trHeight w:val="256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EEFF" w:themeFill="accent2" w:themeFillTint="33"/>
                  <w:noWrap/>
                  <w:vAlign w:val="center"/>
                  <w:hideMark/>
                </w:tcPr>
                <w:p w14:paraId="1E5A7938" w14:textId="2C600882" w:rsidR="00DE1199" w:rsidRPr="00F91B6B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2nd Quarter</w:t>
                  </w:r>
                  <w:r w:rsidR="00F91B6B" w:rsidRPr="00F91B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2017 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FE92540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  <w:t>203</w:t>
                  </w: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E46BBCC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  <w:t>2826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F801C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  <w:t>7.18%</w:t>
                  </w:r>
                </w:p>
              </w:tc>
            </w:tr>
            <w:tr w:rsidR="00B260E9" w:rsidRPr="00DE1199" w14:paraId="2D6D6592" w14:textId="77777777" w:rsidTr="00F91B6B">
              <w:trPr>
                <w:trHeight w:val="256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EEFF" w:themeFill="accent2" w:themeFillTint="33"/>
                  <w:noWrap/>
                  <w:vAlign w:val="center"/>
                  <w:hideMark/>
                </w:tcPr>
                <w:p w14:paraId="6B4E475C" w14:textId="623496F2" w:rsidR="00DE1199" w:rsidRPr="00F91B6B" w:rsidRDefault="00DE1199" w:rsidP="00DE1199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3rd Quarter</w:t>
                  </w:r>
                  <w:r w:rsidR="00F91B6B" w:rsidRPr="00F91B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2017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5147C93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  <w:t>205</w:t>
                  </w: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DFBD975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000000" w:themeColor="text1"/>
                      <w:lang w:val="en-US"/>
                    </w:rPr>
                    <w:t>1811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25756" w14:textId="77777777" w:rsidR="00DE1199" w:rsidRPr="00F91B6B" w:rsidRDefault="00DE1199" w:rsidP="00DE1199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</w:pPr>
                  <w:r w:rsidRPr="00F91B6B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val="en-US"/>
                    </w:rPr>
                    <w:t>11.32%</w:t>
                  </w:r>
                </w:p>
              </w:tc>
            </w:tr>
            <w:tr w:rsidR="00DE1199" w:rsidRPr="00DE1199" w14:paraId="64E68A8D" w14:textId="77777777" w:rsidTr="00B260E9">
              <w:trPr>
                <w:trHeight w:val="244"/>
              </w:trPr>
              <w:tc>
                <w:tcPr>
                  <w:tcW w:w="10235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8DE5819" w14:textId="1AF6554D" w:rsidR="00DE1199" w:rsidRPr="00DE1199" w:rsidRDefault="00DE1199" w:rsidP="00DE119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DE1199" w:rsidRPr="00DE1199" w14:paraId="7BB13870" w14:textId="77777777" w:rsidTr="00DE1199">
              <w:trPr>
                <w:trHeight w:val="256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E2A65" w14:textId="77777777" w:rsidR="00DE1199" w:rsidRPr="00DE1199" w:rsidRDefault="00DE1199" w:rsidP="00DE1199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D6976" w14:textId="77777777" w:rsidR="00DE1199" w:rsidRPr="00DE1199" w:rsidRDefault="00DE1199" w:rsidP="00DE11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3CEF9" w14:textId="77777777" w:rsidR="00DE1199" w:rsidRPr="00DE1199" w:rsidRDefault="00DE1199" w:rsidP="00DE11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81101" w14:textId="77777777" w:rsidR="00DE1199" w:rsidRPr="00DE1199" w:rsidRDefault="00DE1199" w:rsidP="00DE119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D80CB1B" w14:textId="2FF2CA07" w:rsidR="00DE1199" w:rsidRDefault="00DE1199" w:rsidP="009E461E">
            <w:r>
              <w:rPr>
                <w:noProof/>
                <w:lang w:val="en-US"/>
              </w:rPr>
              <w:drawing>
                <wp:inline distT="0" distB="0" distL="0" distR="0" wp14:anchorId="103D2984" wp14:editId="462E50DE">
                  <wp:extent cx="6410324" cy="3209926"/>
                  <wp:effectExtent l="0" t="0" r="1016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599B2B13" w14:textId="30D06A78" w:rsidR="00DE1199" w:rsidRDefault="00DE1199" w:rsidP="009E461E"/>
          <w:p w14:paraId="160B22DB" w14:textId="29A8391A" w:rsidR="00B749DB" w:rsidRPr="009E461E" w:rsidRDefault="00B749DB" w:rsidP="009E461E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9EFC3B5" w14:textId="77777777" w:rsidR="0096065F" w:rsidRDefault="0096065F" w:rsidP="009B1CC1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26628DA4" w14:textId="57022FC7" w:rsidR="00F91B6B" w:rsidRPr="00CD0A93" w:rsidRDefault="00F91B6B" w:rsidP="009B1CC1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0071D7">
        <w:trPr>
          <w:trHeight w:val="3015"/>
        </w:trPr>
        <w:sdt>
          <w:sdtPr>
            <w:rPr>
              <w:rFonts w:cs="Arial"/>
              <w:color w:val="000000"/>
              <w:sz w:val="20"/>
              <w:szCs w:val="20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5C7BADDF" w:rsidR="0096065F" w:rsidRPr="00DD439D" w:rsidRDefault="00743D8D" w:rsidP="000071D7">
                <w:pPr>
                  <w:rPr>
                    <w:rFonts w:cs="Arial"/>
                    <w:sz w:val="20"/>
                    <w:szCs w:val="20"/>
                  </w:rPr>
                </w:pPr>
                <w:r w:rsidRPr="00743D8D">
                  <w:rPr>
                    <w:rFonts w:cs="Arial"/>
                    <w:color w:val="000000"/>
                    <w:sz w:val="20"/>
                    <w:szCs w:val="20"/>
                    <w:lang w:val="en-US"/>
                  </w:rPr>
                  <w:t>Iatesam Albokhary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14DAF" w14:textId="2ADEAB03" w:rsidR="00E61C65" w:rsidRPr="00E61C65" w:rsidRDefault="00E61C65" w:rsidP="00E61C6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Abu el gasim Ali Mousa</w:t>
                </w:r>
              </w:p>
              <w:p w14:paraId="3D204F28" w14:textId="57876872" w:rsidR="00743D8D" w:rsidRDefault="00E61C65" w:rsidP="00E61C65">
                <w:r w:rsidRPr="00E61C65">
                  <w:rPr>
                    <w:rFonts w:cs="Arial"/>
                    <w:sz w:val="20"/>
                    <w:szCs w:val="20"/>
                  </w:rPr>
                  <w:t>Sarah Alabdullah</w:t>
                </w:r>
              </w:p>
              <w:p w14:paraId="68D5A190" w14:textId="0FCA244C" w:rsidR="0096065F" w:rsidRPr="0096065F" w:rsidRDefault="0096065F" w:rsidP="000071D7">
                <w:pPr>
                  <w:rPr>
                    <w:rFonts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A3DA" w14:textId="77777777" w:rsidR="006E229B" w:rsidRDefault="006E229B" w:rsidP="00DA3815">
      <w:pPr>
        <w:spacing w:line="240" w:lineRule="auto"/>
      </w:pPr>
      <w:r>
        <w:separator/>
      </w:r>
    </w:p>
  </w:endnote>
  <w:endnote w:type="continuationSeparator" w:id="0">
    <w:p w14:paraId="249B6452" w14:textId="77777777" w:rsidR="006E229B" w:rsidRDefault="006E229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581B5" w14:textId="77777777" w:rsidR="006E229B" w:rsidRDefault="006E229B" w:rsidP="00DA3815">
      <w:pPr>
        <w:spacing w:line="240" w:lineRule="auto"/>
      </w:pPr>
      <w:r>
        <w:separator/>
      </w:r>
    </w:p>
  </w:footnote>
  <w:footnote w:type="continuationSeparator" w:id="0">
    <w:p w14:paraId="75F91DED" w14:textId="77777777" w:rsidR="006E229B" w:rsidRDefault="006E229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F1429"/>
    <w:multiLevelType w:val="hybridMultilevel"/>
    <w:tmpl w:val="C4A47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F6DFD"/>
    <w:multiLevelType w:val="hybridMultilevel"/>
    <w:tmpl w:val="FD58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7666"/>
    <w:multiLevelType w:val="hybridMultilevel"/>
    <w:tmpl w:val="FD58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3643F"/>
    <w:multiLevelType w:val="hybridMultilevel"/>
    <w:tmpl w:val="272C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4122F"/>
    <w:multiLevelType w:val="hybridMultilevel"/>
    <w:tmpl w:val="43E87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B2007"/>
    <w:multiLevelType w:val="hybridMultilevel"/>
    <w:tmpl w:val="D0F29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1"/>
  </w:num>
  <w:num w:numId="5">
    <w:abstractNumId w:val="2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0"/>
  </w:num>
  <w:num w:numId="16">
    <w:abstractNumId w:val="32"/>
  </w:num>
  <w:num w:numId="17">
    <w:abstractNumId w:val="21"/>
  </w:num>
  <w:num w:numId="18">
    <w:abstractNumId w:val="1"/>
  </w:num>
  <w:num w:numId="19">
    <w:abstractNumId w:val="17"/>
  </w:num>
  <w:num w:numId="20">
    <w:abstractNumId w:val="9"/>
  </w:num>
  <w:num w:numId="21">
    <w:abstractNumId w:val="25"/>
  </w:num>
  <w:num w:numId="22">
    <w:abstractNumId w:val="16"/>
  </w:num>
  <w:num w:numId="23">
    <w:abstractNumId w:val="11"/>
  </w:num>
  <w:num w:numId="24">
    <w:abstractNumId w:val="12"/>
  </w:num>
  <w:num w:numId="25">
    <w:abstractNumId w:val="33"/>
  </w:num>
  <w:num w:numId="26">
    <w:abstractNumId w:val="29"/>
  </w:num>
  <w:num w:numId="27">
    <w:abstractNumId w:val="10"/>
  </w:num>
  <w:num w:numId="28">
    <w:abstractNumId w:val="30"/>
  </w:num>
  <w:num w:numId="29">
    <w:abstractNumId w:val="23"/>
  </w:num>
  <w:num w:numId="30">
    <w:abstractNumId w:val="35"/>
  </w:num>
  <w:num w:numId="31">
    <w:abstractNumId w:val="6"/>
  </w:num>
  <w:num w:numId="32">
    <w:abstractNumId w:val="15"/>
  </w:num>
  <w:num w:numId="33">
    <w:abstractNumId w:val="19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071D7"/>
    <w:rsid w:val="000166E9"/>
    <w:rsid w:val="000210AA"/>
    <w:rsid w:val="00035DDD"/>
    <w:rsid w:val="00076024"/>
    <w:rsid w:val="0008253B"/>
    <w:rsid w:val="00085065"/>
    <w:rsid w:val="00097EAF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E18CF"/>
    <w:rsid w:val="001E3DFE"/>
    <w:rsid w:val="001E7C56"/>
    <w:rsid w:val="0023755E"/>
    <w:rsid w:val="00237C0B"/>
    <w:rsid w:val="00274E65"/>
    <w:rsid w:val="00294548"/>
    <w:rsid w:val="00297D61"/>
    <w:rsid w:val="00301903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41410C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0A7E"/>
    <w:rsid w:val="00522F51"/>
    <w:rsid w:val="0052368C"/>
    <w:rsid w:val="00547293"/>
    <w:rsid w:val="00570D98"/>
    <w:rsid w:val="00581F4F"/>
    <w:rsid w:val="00597FE0"/>
    <w:rsid w:val="005F78B0"/>
    <w:rsid w:val="006001F0"/>
    <w:rsid w:val="00616BAB"/>
    <w:rsid w:val="00637491"/>
    <w:rsid w:val="00642462"/>
    <w:rsid w:val="0065184C"/>
    <w:rsid w:val="006C3F74"/>
    <w:rsid w:val="006C5CC5"/>
    <w:rsid w:val="006D2AF3"/>
    <w:rsid w:val="006D63B1"/>
    <w:rsid w:val="006E229B"/>
    <w:rsid w:val="00714581"/>
    <w:rsid w:val="00727285"/>
    <w:rsid w:val="00743D8D"/>
    <w:rsid w:val="00760950"/>
    <w:rsid w:val="0076391E"/>
    <w:rsid w:val="007B1CB2"/>
    <w:rsid w:val="007C5B94"/>
    <w:rsid w:val="007D68EF"/>
    <w:rsid w:val="007F6DC7"/>
    <w:rsid w:val="0080056A"/>
    <w:rsid w:val="00847F33"/>
    <w:rsid w:val="008A3BB1"/>
    <w:rsid w:val="008B786E"/>
    <w:rsid w:val="008E400D"/>
    <w:rsid w:val="008E49C2"/>
    <w:rsid w:val="008E6640"/>
    <w:rsid w:val="00902833"/>
    <w:rsid w:val="00923B4A"/>
    <w:rsid w:val="00944197"/>
    <w:rsid w:val="0096065F"/>
    <w:rsid w:val="00963958"/>
    <w:rsid w:val="00964042"/>
    <w:rsid w:val="0097107A"/>
    <w:rsid w:val="009816D4"/>
    <w:rsid w:val="00981B8B"/>
    <w:rsid w:val="009941C3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70EA8"/>
    <w:rsid w:val="00AE2E61"/>
    <w:rsid w:val="00AF2E89"/>
    <w:rsid w:val="00B236BD"/>
    <w:rsid w:val="00B260E9"/>
    <w:rsid w:val="00B57125"/>
    <w:rsid w:val="00B67535"/>
    <w:rsid w:val="00B749DB"/>
    <w:rsid w:val="00B845E4"/>
    <w:rsid w:val="00BB18B7"/>
    <w:rsid w:val="00BC6656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0F07"/>
    <w:rsid w:val="00C94ACA"/>
    <w:rsid w:val="00CB75A8"/>
    <w:rsid w:val="00CC0AD8"/>
    <w:rsid w:val="00CD0A93"/>
    <w:rsid w:val="00D1655C"/>
    <w:rsid w:val="00DA3815"/>
    <w:rsid w:val="00DD439D"/>
    <w:rsid w:val="00DE1199"/>
    <w:rsid w:val="00E23C1B"/>
    <w:rsid w:val="00E53924"/>
    <w:rsid w:val="00E61C65"/>
    <w:rsid w:val="00EB0D7B"/>
    <w:rsid w:val="00ED38E1"/>
    <w:rsid w:val="00EE7E7A"/>
    <w:rsid w:val="00F11F8C"/>
    <w:rsid w:val="00F230C0"/>
    <w:rsid w:val="00F34060"/>
    <w:rsid w:val="00F3533A"/>
    <w:rsid w:val="00F63B9D"/>
    <w:rsid w:val="00F66496"/>
    <w:rsid w:val="00F74338"/>
    <w:rsid w:val="00F91B6B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f1501960\Desktop\Performance%20project-complaince%20unit%20(003)%202017%20STATIST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Percentage of Returned transactions 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for Correction 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 by Auditors</a:t>
            </a:r>
            <a:endParaRPr lang="en-US" sz="14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4099053339581588"/>
          <c:y val="2.37388650081029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Sheet1!$C$27</c:f>
              <c:strCache>
                <c:ptCount val="1"/>
                <c:pt idx="0">
                  <c:v>Percentage of compliance to guidelines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0052539404553416E-3"/>
                  <c:y val="-5.4607508532423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314-401E-9BBC-2205BB061F0A}"/>
                </c:ext>
              </c:extLst>
            </c:dLbl>
            <c:dLbl>
              <c:idx val="1"/>
              <c:layout>
                <c:manualLayout>
                  <c:x val="-2.5685931115002919E-2"/>
                  <c:y val="-8.191126279863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14-401E-9BBC-2205BB061F0A}"/>
                </c:ext>
              </c:extLst>
            </c:dLbl>
            <c:dLbl>
              <c:idx val="2"/>
              <c:layout>
                <c:manualLayout>
                  <c:x val="-4.9036777583187391E-2"/>
                  <c:y val="6.8259385665529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314-401E-9BBC-2205BB061F0A}"/>
                </c:ext>
              </c:extLst>
            </c:dLbl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Sheet1!$A$28:$B$31</c:f>
              <c:multiLvlStrCache>
                <c:ptCount val="4"/>
                <c:lvl>
                  <c:pt idx="0">
                    <c:v>Q 1 2017</c:v>
                  </c:pt>
                  <c:pt idx="1">
                    <c:v>Q 2 2017</c:v>
                  </c:pt>
                  <c:pt idx="2">
                    <c:v>Q 3 2017</c:v>
                  </c:pt>
                  <c:pt idx="3">
                    <c:v>Q 4 2017</c:v>
                  </c:pt>
                </c:lvl>
                <c:lvl>
                  <c:pt idx="0">
                    <c:v>Before PI Project </c:v>
                  </c:pt>
                  <c:pt idx="3">
                    <c:v>After PI Project</c:v>
                  </c:pt>
                </c:lvl>
              </c:multiLvlStrCache>
            </c:multiLvlStrRef>
          </c:cat>
          <c:val>
            <c:numRef>
              <c:f>Sheet1!$C$28:$C$31</c:f>
              <c:numCache>
                <c:formatCode>0.00%</c:formatCode>
                <c:ptCount val="4"/>
                <c:pt idx="0">
                  <c:v>5.96E-2</c:v>
                </c:pt>
                <c:pt idx="1">
                  <c:v>7.1800000000000003E-2</c:v>
                </c:pt>
                <c:pt idx="2">
                  <c:v>0.1132</c:v>
                </c:pt>
                <c:pt idx="3" formatCode="0%">
                  <c:v>6.8199999999999997E-2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14-401E-9BBC-2205BB061F0A}"/>
            </c:ext>
          </c:extLst>
        </c:ser>
        <c:ser>
          <c:idx val="1"/>
          <c:order val="1"/>
          <c:tx>
            <c:strRef>
              <c:f>Sheet1!$D$27</c:f>
              <c:strCache>
                <c:ptCount val="1"/>
                <c:pt idx="0">
                  <c:v>   Trigger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314-401E-9BBC-2205BB061F0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14-401E-9BBC-2205BB061F0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314-401E-9BBC-2205BB061F0A}"/>
                </c:ext>
              </c:extLst>
            </c:dLbl>
            <c:dLbl>
              <c:idx val="3"/>
              <c:layout>
                <c:manualLayout>
                  <c:x val="1.1675423234092236E-2"/>
                  <c:y val="0"/>
                </c:manualLayout>
              </c:layout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14-401E-9BBC-2205BB061F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Sheet1!$A$28:$B$31</c:f>
              <c:multiLvlStrCache>
                <c:ptCount val="4"/>
                <c:lvl>
                  <c:pt idx="0">
                    <c:v>Q 1 2017</c:v>
                  </c:pt>
                  <c:pt idx="1">
                    <c:v>Q 2 2017</c:v>
                  </c:pt>
                  <c:pt idx="2">
                    <c:v>Q 3 2017</c:v>
                  </c:pt>
                  <c:pt idx="3">
                    <c:v>Q 4 2017</c:v>
                  </c:pt>
                </c:lvl>
                <c:lvl>
                  <c:pt idx="0">
                    <c:v>Before PI Project </c:v>
                  </c:pt>
                  <c:pt idx="3">
                    <c:v>After PI Project</c:v>
                  </c:pt>
                </c:lvl>
              </c:multiLvlStrCache>
            </c:multiLvlStrRef>
          </c:cat>
          <c:val>
            <c:numRef>
              <c:f>Sheet1!$D$28:$D$31</c:f>
              <c:numCache>
                <c:formatCode>0%</c:formatCode>
                <c:ptCount val="4"/>
                <c:pt idx="0">
                  <c:v>0.08</c:v>
                </c:pt>
                <c:pt idx="1">
                  <c:v>0.08</c:v>
                </c:pt>
                <c:pt idx="2">
                  <c:v>0.08</c:v>
                </c:pt>
                <c:pt idx="3">
                  <c:v>0.08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5314-401E-9BBC-2205BB061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5556319"/>
        <c:axId val="1145554655"/>
      </c:lineChart>
      <c:catAx>
        <c:axId val="11455563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5554655"/>
        <c:crosses val="autoZero"/>
        <c:auto val="1"/>
        <c:lblAlgn val="ctr"/>
        <c:lblOffset val="100"/>
        <c:noMultiLvlLbl val="0"/>
      </c:catAx>
      <c:valAx>
        <c:axId val="1145554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55563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07138"/>
    <w:rsid w:val="003372AE"/>
    <w:rsid w:val="003B298D"/>
    <w:rsid w:val="00426A00"/>
    <w:rsid w:val="004C412D"/>
    <w:rsid w:val="004D6A5F"/>
    <w:rsid w:val="00565271"/>
    <w:rsid w:val="005C662A"/>
    <w:rsid w:val="00633E90"/>
    <w:rsid w:val="006D67F3"/>
    <w:rsid w:val="00724920"/>
    <w:rsid w:val="007E62B5"/>
    <w:rsid w:val="009C63E1"/>
    <w:rsid w:val="009D7071"/>
    <w:rsid w:val="00AF04DC"/>
    <w:rsid w:val="00B254DF"/>
    <w:rsid w:val="00BC5EC8"/>
    <w:rsid w:val="00C253A4"/>
    <w:rsid w:val="00C465D8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2A2B-0513-44D4-AB98-F9511379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7</cp:revision>
  <cp:lastPrinted>2017-12-31T20:40:00Z</cp:lastPrinted>
  <dcterms:created xsi:type="dcterms:W3CDTF">2018-04-04T08:55:00Z</dcterms:created>
  <dcterms:modified xsi:type="dcterms:W3CDTF">2018-04-04T11:46:00Z</dcterms:modified>
</cp:coreProperties>
</file>