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E428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6A7DCA4C" w:rsidR="00BD5296" w:rsidRPr="00321654" w:rsidRDefault="00122B12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122B12">
                  <w:rPr>
                    <w:rFonts w:cs="Arial"/>
                    <w:color w:val="000000" w:themeColor="text1"/>
                    <w:sz w:val="20"/>
                    <w:szCs w:val="20"/>
                  </w:rPr>
                  <w:t>Prevention of Fall in Surgery Unit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59A0F2AE" w:rsidR="00FC3EA3" w:rsidRPr="00321654" w:rsidRDefault="00122B1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122B12">
                  <w:rPr>
                    <w:rFonts w:cs="Arial"/>
                    <w:color w:val="000000" w:themeColor="text1"/>
                    <w:sz w:val="20"/>
                  </w:rPr>
                  <w:t>3North/South Surgery Unit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60FD4D2C" w:rsidR="00944197" w:rsidRPr="00321654" w:rsidRDefault="00122B12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11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19DCDB7F" w:rsidR="00944197" w:rsidRPr="00321654" w:rsidRDefault="00122B12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11-30-2016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2FCEAE65" w:rsidR="00000E88" w:rsidRPr="00B67535" w:rsidRDefault="00732DE8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</w:t>
                </w:r>
                <w:r w:rsidR="00140805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ncrease rate of fall in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2015</w:t>
                </w:r>
                <w:r>
                  <w:t>, a</w:t>
                </w:r>
                <w:r w:rsidRPr="00732DE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pre-data audit showed a poor staff compliance in implementing the fall prevention at the bedside and providing patient education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81915D1" w:rsidR="00000E88" w:rsidRPr="00732DE8" w:rsidRDefault="00C42841" w:rsidP="00732DE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32DE8">
              <w:rPr>
                <w:rFonts w:cs="Arial"/>
                <w:color w:val="000000" w:themeColor="text1"/>
                <w:sz w:val="20"/>
                <w:szCs w:val="20"/>
              </w:rPr>
              <w:t>Improve</w:t>
            </w:r>
            <w:r w:rsidR="00732DE8" w:rsidRPr="00732DE8">
              <w:rPr>
                <w:rFonts w:cs="Arial"/>
                <w:color w:val="000000" w:themeColor="text1"/>
                <w:sz w:val="20"/>
                <w:szCs w:val="20"/>
              </w:rPr>
              <w:t xml:space="preserve"> patient’s safety by decreasing the incidence of patient falls within 3North/South surgical unit to 1.0 year to date (based on internal benchmark) by November 2016</w:t>
            </w:r>
            <w:r w:rsidR="00732DE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C42841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C42841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6BD4E298" w:rsidR="00000E88" w:rsidRPr="0037000B" w:rsidRDefault="00C42841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1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C42841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37023C4C" w:rsidR="00000E88" w:rsidRPr="0037000B" w:rsidRDefault="00C42841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1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C42841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141A991F" w:rsidR="00000E88" w:rsidRPr="0037000B" w:rsidRDefault="00140805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5FAE119C" w:rsidR="001942D3" w:rsidRPr="001942D3" w:rsidRDefault="00732DE8" w:rsidP="00732DE8">
                  <w:pPr>
                    <w:pStyle w:val="ListParagraph"/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Fall Rate.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318480A5" w14:textId="2C2EA2BA" w:rsidR="00732DE8" w:rsidRPr="00732DE8" w:rsidRDefault="00732DE8" w:rsidP="00732DE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I</w:t>
                  </w:r>
                  <w:r w:rsidRPr="00732DE8">
                    <w:rPr>
                      <w:rFonts w:cs="Arial"/>
                      <w:color w:val="000000" w:themeColor="text1"/>
                      <w:sz w:val="20"/>
                    </w:rPr>
                    <w:t>mprove the rate of out fall this year below the international benchmark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.</w:t>
                  </w:r>
                </w:p>
                <w:p w14:paraId="7530E8F7" w14:textId="77777777" w:rsidR="001942D3" w:rsidRPr="001942D3" w:rsidRDefault="001942D3" w:rsidP="00732DE8">
                  <w:pPr>
                    <w:pStyle w:val="ListParagraph"/>
                    <w:ind w:left="306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1CE7F74" w14:textId="77777777" w:rsidR="00732DE8" w:rsidRPr="00C42841" w:rsidRDefault="00732DE8" w:rsidP="00732DE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 xml:space="preserve">Practice: Hourly rounding had been implemented in the unit. An educational in-service was </w:t>
            </w:r>
          </w:p>
          <w:p w14:paraId="29FC5444" w14:textId="67062E66" w:rsidR="00732DE8" w:rsidRPr="00C42841" w:rsidRDefault="00732DE8" w:rsidP="00732DE8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>conducted to the staff prior to implementation.</w:t>
            </w:r>
          </w:p>
          <w:p w14:paraId="50398759" w14:textId="77777777" w:rsidR="00732DE8" w:rsidRPr="00C42841" w:rsidRDefault="00732DE8" w:rsidP="00732DE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 xml:space="preserve">Supply: A fall risk yellow ID Band applied to the patient identified  as moderate to high risk </w:t>
            </w:r>
          </w:p>
          <w:p w14:paraId="4A0A4895" w14:textId="2C77E323" w:rsidR="00732DE8" w:rsidRPr="00C42841" w:rsidRDefault="00732DE8" w:rsidP="00732DE8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 xml:space="preserve"> for fall</w:t>
            </w:r>
          </w:p>
          <w:p w14:paraId="229C88DA" w14:textId="17CDD43A" w:rsidR="00732DE8" w:rsidRPr="00C42841" w:rsidRDefault="00732DE8" w:rsidP="00732DE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>Education: Hourly Rounding Guidelines has been created to standardize the practice in the unit.</w:t>
            </w:r>
          </w:p>
          <w:p w14:paraId="6A3AD7C1" w14:textId="77777777" w:rsidR="00732DE8" w:rsidRPr="00C42841" w:rsidRDefault="00732DE8" w:rsidP="00732DE8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 xml:space="preserve">Educational pamphlet has been provided to all patient’s identified as moderate to high </w:t>
            </w:r>
          </w:p>
          <w:p w14:paraId="61BF439E" w14:textId="38A65FA2" w:rsidR="00DD439D" w:rsidRPr="00DD439D" w:rsidRDefault="00732DE8" w:rsidP="00732DE8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  <w:r w:rsidRPr="00C42841">
              <w:rPr>
                <w:rFonts w:cs="Arial"/>
                <w:color w:val="000000" w:themeColor="text1"/>
                <w:sz w:val="20"/>
                <w:szCs w:val="20"/>
              </w:rPr>
              <w:t>risk for fall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1F1760C" w14:textId="77777777" w:rsidR="00DD439D" w:rsidRDefault="00DD439D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767535C" w14:textId="772EF023" w:rsidR="00732DE8" w:rsidRDefault="00732DE8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1F5B642" w14:textId="77777777" w:rsidR="00480CEF" w:rsidRDefault="00480CEF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517F769F" w14:textId="77777777" w:rsidR="00480CEF" w:rsidRDefault="00480CEF" w:rsidP="00C42841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r w:rsidRPr="00CC43D3">
              <w:rPr>
                <w:noProof/>
                <w:lang w:val="en-US"/>
              </w:rPr>
              <w:lastRenderedPageBreak/>
              <w:drawing>
                <wp:inline distT="0" distB="0" distL="0" distR="0" wp14:anchorId="0FAB1770" wp14:editId="0AE66C13">
                  <wp:extent cx="4581525" cy="2943225"/>
                  <wp:effectExtent l="0" t="0" r="0" b="0"/>
                  <wp:docPr id="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  <w:p w14:paraId="21F69605" w14:textId="77777777" w:rsidR="00480CEF" w:rsidRDefault="00480CEF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17367950" w14:textId="77777777" w:rsidR="00480CEF" w:rsidRPr="0098447A" w:rsidRDefault="00480CEF" w:rsidP="00480C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7A">
              <w:rPr>
                <w:rFonts w:ascii="Times New Roman" w:hAnsi="Times New Roman" w:cs="Times New Roman"/>
                <w:b/>
                <w:bCs/>
              </w:rPr>
              <w:t>PRE-POST DATA: Compliance Rate for Moderate/High Risk Fall Protocol</w:t>
            </w:r>
          </w:p>
          <w:p w14:paraId="0BE5F2A5" w14:textId="77777777" w:rsidR="00480CEF" w:rsidRDefault="00480CEF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1FD8ACF5" w14:textId="77777777" w:rsidR="00480CEF" w:rsidRDefault="00480CEF" w:rsidP="00732DE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E128C0A" w14:textId="41D63635" w:rsidR="00480CEF" w:rsidRPr="00C42841" w:rsidRDefault="00480CEF" w:rsidP="00C4284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77CDDC98" w:rsidR="001D1B42" w:rsidRPr="00DD439D" w:rsidRDefault="00C83D3E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C83D3E">
                  <w:rPr>
                    <w:rFonts w:cs="Arial"/>
                    <w:sz w:val="20"/>
                    <w:szCs w:val="20"/>
                  </w:rPr>
                  <w:t>Ellen Guevarra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A327ED" w14:textId="53474E3E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Saif Al Qatamin</w:t>
                </w:r>
              </w:p>
              <w:p w14:paraId="2A3F8AA9" w14:textId="2A9E3A86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Amal Brnawi</w:t>
                </w:r>
              </w:p>
              <w:p w14:paraId="62B74DE2" w14:textId="71C68BFF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Kristine Cona</w:t>
                </w:r>
              </w:p>
              <w:p w14:paraId="2D33C4CC" w14:textId="54F31BC2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Aileen Borres</w:t>
                </w:r>
              </w:p>
              <w:p w14:paraId="36119CF4" w14:textId="441D67A6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Mary Joyce Jumaquio</w:t>
                </w:r>
              </w:p>
              <w:p w14:paraId="5CBF041F" w14:textId="2DF0875A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Switzem Rosete</w:t>
                </w:r>
              </w:p>
              <w:p w14:paraId="270DFE0B" w14:textId="2525A5AD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Leah Haduca</w:t>
                </w:r>
              </w:p>
              <w:p w14:paraId="5ED7AB3C" w14:textId="02F82770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Joanne Belardo</w:t>
                </w:r>
              </w:p>
              <w:p w14:paraId="12D10254" w14:textId="7B819788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Maritess Tambidan</w:t>
                </w:r>
              </w:p>
              <w:p w14:paraId="775308B5" w14:textId="19BF5EEC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Jonna Pamisan</w:t>
                </w:r>
              </w:p>
              <w:p w14:paraId="478210CC" w14:textId="2E5E4463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Rio Flores</w:t>
                </w:r>
              </w:p>
              <w:p w14:paraId="63CB447D" w14:textId="5F240DC4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Diane Ross</w:t>
                </w:r>
              </w:p>
              <w:p w14:paraId="080F5C36" w14:textId="77777777" w:rsidR="00C83D3E" w:rsidRPr="00C83D3E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 w:rsidRPr="00C83D3E">
                  <w:rPr>
                    <w:rFonts w:cs="Arial"/>
                    <w:sz w:val="20"/>
                    <w:szCs w:val="20"/>
                  </w:rPr>
                  <w:t xml:space="preserve">Myssa Mohamed Salamah </w:t>
                </w:r>
              </w:p>
              <w:p w14:paraId="53684B26" w14:textId="50512D34" w:rsidR="001D1B42" w:rsidRPr="00DD439D" w:rsidRDefault="00C83D3E" w:rsidP="00C83D3E">
                <w:pPr>
                  <w:rPr>
                    <w:rFonts w:cs="Arial"/>
                    <w:sz w:val="20"/>
                    <w:szCs w:val="20"/>
                  </w:rPr>
                </w:pPr>
                <w:r w:rsidRPr="00C83D3E">
                  <w:rPr>
                    <w:rFonts w:cs="Arial"/>
                    <w:sz w:val="20"/>
                    <w:szCs w:val="20"/>
                  </w:rPr>
                  <w:t>Ohood Al-Haddad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73F8" w14:textId="77777777" w:rsidR="00D57671" w:rsidRDefault="00D57671" w:rsidP="00DA3815">
      <w:pPr>
        <w:spacing w:line="240" w:lineRule="auto"/>
      </w:pPr>
      <w:r>
        <w:separator/>
      </w:r>
    </w:p>
  </w:endnote>
  <w:endnote w:type="continuationSeparator" w:id="0">
    <w:p w14:paraId="5C3F7899" w14:textId="77777777" w:rsidR="00D57671" w:rsidRDefault="00D5767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42A2" w14:textId="77777777" w:rsidR="00D57671" w:rsidRDefault="00D57671" w:rsidP="00DA3815">
      <w:pPr>
        <w:spacing w:line="240" w:lineRule="auto"/>
      </w:pPr>
      <w:r>
        <w:separator/>
      </w:r>
    </w:p>
  </w:footnote>
  <w:footnote w:type="continuationSeparator" w:id="0">
    <w:p w14:paraId="0FEFD76D" w14:textId="77777777" w:rsidR="00D57671" w:rsidRDefault="00D5767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2B12"/>
    <w:rsid w:val="001244EA"/>
    <w:rsid w:val="00125AEE"/>
    <w:rsid w:val="00140805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80CEF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32DE8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2841"/>
    <w:rsid w:val="00C441A9"/>
    <w:rsid w:val="00C7337A"/>
    <w:rsid w:val="00C76F33"/>
    <w:rsid w:val="00C83D3E"/>
    <w:rsid w:val="00C84A93"/>
    <w:rsid w:val="00C94ACA"/>
    <w:rsid w:val="00CB75A8"/>
    <w:rsid w:val="00CC0AD8"/>
    <w:rsid w:val="00CD0A93"/>
    <w:rsid w:val="00D1655C"/>
    <w:rsid w:val="00D57671"/>
    <w:rsid w:val="00DA3815"/>
    <w:rsid w:val="00DB0A3A"/>
    <w:rsid w:val="00DB4A9D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77C21"/>
  <w15:docId w15:val="{9C394DD1-5B90-4D63-8F77-20C3253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002405949256338E-2"/>
          <c:y val="0.19091999863653408"/>
          <c:w val="0.89357742782152227"/>
          <c:h val="0.5430923407301360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Fall Rate/ 1000 Patient Days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Sheet1!$A$15:$A$29</c:f>
              <c:numCache>
                <c:formatCode>mmm\-yy</c:formatCode>
                <c:ptCount val="15"/>
                <c:pt idx="0">
                  <c:v>42384</c:v>
                </c:pt>
                <c:pt idx="1">
                  <c:v>42415</c:v>
                </c:pt>
                <c:pt idx="2">
                  <c:v>42444</c:v>
                </c:pt>
                <c:pt idx="3">
                  <c:v>42475</c:v>
                </c:pt>
                <c:pt idx="4">
                  <c:v>42505</c:v>
                </c:pt>
                <c:pt idx="5">
                  <c:v>42536</c:v>
                </c:pt>
                <c:pt idx="6">
                  <c:v>42566</c:v>
                </c:pt>
                <c:pt idx="7">
                  <c:v>42597</c:v>
                </c:pt>
                <c:pt idx="8">
                  <c:v>42628</c:v>
                </c:pt>
                <c:pt idx="9">
                  <c:v>42658</c:v>
                </c:pt>
                <c:pt idx="10">
                  <c:v>42689</c:v>
                </c:pt>
                <c:pt idx="11">
                  <c:v>42719</c:v>
                </c:pt>
                <c:pt idx="12">
                  <c:v>42750</c:v>
                </c:pt>
                <c:pt idx="13">
                  <c:v>42781</c:v>
                </c:pt>
                <c:pt idx="14">
                  <c:v>42809</c:v>
                </c:pt>
              </c:numCache>
            </c:numRef>
          </c:cat>
          <c:val>
            <c:numRef>
              <c:f>Sheet1!$B$15:$B$29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0.9</c:v>
                </c:pt>
                <c:pt idx="5">
                  <c:v>0</c:v>
                </c:pt>
                <c:pt idx="6" formatCode="0.0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Trigger</c:v>
                </c:pt>
              </c:strCache>
            </c:strRef>
          </c:tx>
          <c:spPr>
            <a:ln>
              <a:solidFill>
                <a:srgbClr val="F79646">
                  <a:lumMod val="75000"/>
                </a:srgbClr>
              </a:solidFill>
            </a:ln>
          </c:spPr>
          <c:marker>
            <c:symbol val="none"/>
          </c:marker>
          <c:cat>
            <c:numRef>
              <c:f>Sheet1!$A$15:$A$29</c:f>
              <c:numCache>
                <c:formatCode>mmm\-yy</c:formatCode>
                <c:ptCount val="15"/>
                <c:pt idx="0">
                  <c:v>42384</c:v>
                </c:pt>
                <c:pt idx="1">
                  <c:v>42415</c:v>
                </c:pt>
                <c:pt idx="2">
                  <c:v>42444</c:v>
                </c:pt>
                <c:pt idx="3">
                  <c:v>42475</c:v>
                </c:pt>
                <c:pt idx="4">
                  <c:v>42505</c:v>
                </c:pt>
                <c:pt idx="5">
                  <c:v>42536</c:v>
                </c:pt>
                <c:pt idx="6">
                  <c:v>42566</c:v>
                </c:pt>
                <c:pt idx="7">
                  <c:v>42597</c:v>
                </c:pt>
                <c:pt idx="8">
                  <c:v>42628</c:v>
                </c:pt>
                <c:pt idx="9">
                  <c:v>42658</c:v>
                </c:pt>
                <c:pt idx="10">
                  <c:v>42689</c:v>
                </c:pt>
                <c:pt idx="11">
                  <c:v>42719</c:v>
                </c:pt>
                <c:pt idx="12">
                  <c:v>42750</c:v>
                </c:pt>
                <c:pt idx="13">
                  <c:v>42781</c:v>
                </c:pt>
                <c:pt idx="14">
                  <c:v>42809</c:v>
                </c:pt>
              </c:numCache>
            </c:numRef>
          </c:cat>
          <c:val>
            <c:numRef>
              <c:f>Sheet1!$C$15:$C$29</c:f>
              <c:numCache>
                <c:formatCode>General</c:formatCode>
                <c:ptCount val="15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0517136"/>
        <c:axId val="250517696"/>
      </c:lineChart>
      <c:dateAx>
        <c:axId val="25051713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crossAx val="250517696"/>
        <c:crosses val="autoZero"/>
        <c:auto val="1"/>
        <c:lblOffset val="100"/>
        <c:baseTimeUnit val="months"/>
      </c:dateAx>
      <c:valAx>
        <c:axId val="250517696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25051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499134416708548E-2"/>
          <c:y val="0.92352445877151268"/>
          <c:w val="0.87394538448651371"/>
          <c:h val="7.50289770825626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</cdr:x>
      <cdr:y>0.03084</cdr:y>
    </cdr:from>
    <cdr:to>
      <cdr:x>0.92708</cdr:x>
      <cdr:y>0.10877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90488"/>
          <a:ext cx="37814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effectLst/>
              <a:latin typeface="+mn-lt"/>
              <a:ea typeface="+mn-ea"/>
              <a:cs typeface="+mn-cs"/>
            </a:rPr>
            <a:t>3</a:t>
          </a:r>
          <a:r>
            <a:rPr lang="en-US" sz="1100" b="1" baseline="0">
              <a:effectLst/>
              <a:latin typeface="+mn-lt"/>
              <a:ea typeface="+mn-ea"/>
              <a:cs typeface="+mn-cs"/>
            </a:rPr>
            <a:t> North/ South </a:t>
          </a:r>
          <a:r>
            <a:rPr lang="en-US" sz="1100" b="1">
              <a:effectLst/>
              <a:latin typeface="+mn-lt"/>
              <a:ea typeface="+mn-ea"/>
              <a:cs typeface="+mn-cs"/>
            </a:rPr>
            <a:t>Fall Rate/ 1000 Patient Days 2016-2017 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218AE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DFC3-45B6-481A-9DAE-63924C1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3</cp:revision>
  <cp:lastPrinted>2017-12-31T20:40:00Z</cp:lastPrinted>
  <dcterms:created xsi:type="dcterms:W3CDTF">2018-04-02T13:23:00Z</dcterms:created>
  <dcterms:modified xsi:type="dcterms:W3CDTF">2018-04-05T12:33:00Z</dcterms:modified>
</cp:coreProperties>
</file>