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8CE3C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7F25F0CA" w:rsidR="00B749DB" w:rsidRPr="00321654" w:rsidRDefault="00B93BC2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B93BC2">
                  <w:rPr>
                    <w:rFonts w:cs="Arial"/>
                    <w:color w:val="000000" w:themeColor="text1"/>
                    <w:sz w:val="20"/>
                    <w:szCs w:val="20"/>
                  </w:rPr>
                  <w:t>Improve Home HealthCare Referral Documentation Compliance From Inpatient Department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5FEAFF35" w:rsidR="00B749DB" w:rsidRPr="00321654" w:rsidRDefault="00B93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23CD5C71" w:rsidR="00B749DB" w:rsidRPr="00321654" w:rsidRDefault="00B93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93BC2">
                  <w:rPr>
                    <w:rFonts w:cs="Arial"/>
                    <w:color w:val="000000" w:themeColor="text1"/>
                    <w:sz w:val="20"/>
                  </w:rPr>
                  <w:t>Home HealthCare (HHC)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98748F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1A6DB363" w:rsidR="00B749DB" w:rsidRPr="00321654" w:rsidRDefault="00B93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:date w:fullDate="2017-04-0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0A3774AB" w:rsidR="00B749DB" w:rsidRPr="00321654" w:rsidRDefault="00B93BC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04-02-2017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:date w:fullDate="2017-08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50642E18" w:rsidR="00B749DB" w:rsidRPr="00321654" w:rsidRDefault="00804AA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08-31-2017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Problem:</w:t>
            </w:r>
            <w:r w:rsidRPr="0098748F">
              <w:rPr>
                <w:rFonts w:cs="Arial"/>
                <w:color w:val="F99F2A" w:themeColor="accent3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</w:sdtPr>
            <w:sdtEndPr>
              <w:rPr>
                <w:rFonts w:cstheme="minorBidi"/>
                <w:sz w:val="22"/>
                <w:szCs w:val="22"/>
              </w:rPr>
            </w:sdtEndPr>
            <w:sdtContent>
              <w:p w14:paraId="6358789C" w14:textId="3C45E9B0" w:rsidR="00C155F1" w:rsidRPr="00EB3132" w:rsidRDefault="00C155F1" w:rsidP="00C155F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1. HHC receiving electronic referral with incomplete documentation.</w:t>
                </w:r>
              </w:p>
              <w:p w14:paraId="5417F354" w14:textId="364F49EF" w:rsidR="00C155F1" w:rsidRPr="00EB3132" w:rsidRDefault="00C155F1" w:rsidP="00EB3132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No detailed wound care plan - no type of dressing and duration.</w:t>
                </w:r>
              </w:p>
              <w:p w14:paraId="35DEC49E" w14:textId="741D2144" w:rsidR="00C155F1" w:rsidRPr="00EB3132" w:rsidRDefault="00C155F1" w:rsidP="00EB3132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Medication therapy care plan - no order in the active recurring encounter.</w:t>
                </w:r>
              </w:p>
              <w:p w14:paraId="3E29B8D7" w14:textId="76F590BF" w:rsidR="00C155F1" w:rsidRPr="00EB3132" w:rsidRDefault="00C155F1" w:rsidP="00EB3132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Nasogastric tube and Foley’s catheter change -no specific care plan for size, frequency and duration of catheter &amp; NGT change.</w:t>
                </w:r>
              </w:p>
              <w:p w14:paraId="61A4E8F8" w14:textId="15813DAF" w:rsidR="00C155F1" w:rsidRPr="00EB3132" w:rsidRDefault="00C155F1" w:rsidP="00EB3132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Blood Draw - no laboratory orders entered in power chart, no specific physician to follow- up results.</w:t>
                </w:r>
              </w:p>
              <w:p w14:paraId="0E8A5C45" w14:textId="2EA3A48D" w:rsidR="00C155F1" w:rsidRPr="00EB3132" w:rsidRDefault="00C155F1" w:rsidP="00C155F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2.Noncompliance with IPP</w:t>
                </w:r>
              </w:p>
              <w:p w14:paraId="6D02854D" w14:textId="3F7A2EED" w:rsidR="00C155F1" w:rsidRPr="00EB3132" w:rsidRDefault="00C155F1" w:rsidP="00EB3132">
                <w:pPr>
                  <w:pStyle w:val="ListParagraph"/>
                  <w:numPr>
                    <w:ilvl w:val="0"/>
                    <w:numId w:val="33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Referral IPP-NA-J-HHCGL-04 – referral should be done at least 24-48 hours prior to patient discharges.</w:t>
                </w:r>
              </w:p>
              <w:p w14:paraId="14C0CAB2" w14:textId="57E2BE74" w:rsidR="00C155F1" w:rsidRPr="00EB3132" w:rsidRDefault="00C155F1" w:rsidP="00EB3132">
                <w:pPr>
                  <w:pStyle w:val="ListParagraph"/>
                  <w:numPr>
                    <w:ilvl w:val="0"/>
                    <w:numId w:val="33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Referring physician – should be primary consultant and not resident or intern.</w:t>
                </w:r>
              </w:p>
              <w:p w14:paraId="432CBB8C" w14:textId="527D313E" w:rsidR="00C155F1" w:rsidRPr="00EB3132" w:rsidRDefault="00C155F1" w:rsidP="00EB3132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3.Patient Safety</w:t>
                </w:r>
              </w:p>
              <w:p w14:paraId="1C7C372E" w14:textId="1F126BC5" w:rsidR="00B749DB" w:rsidRPr="00EB3132" w:rsidRDefault="00C155F1" w:rsidP="00EB3132">
                <w:pPr>
                  <w:pStyle w:val="ListParagraph"/>
                  <w:numPr>
                    <w:ilvl w:val="0"/>
                    <w:numId w:val="38"/>
                  </w:num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EB3132">
                  <w:rPr>
                    <w:rFonts w:cs="Arial"/>
                    <w:color w:val="000000" w:themeColor="text1"/>
                    <w:sz w:val="20"/>
                    <w:szCs w:val="20"/>
                  </w:rPr>
                  <w:t>PICC line care – no appointment for removal upon completion of medication therapy.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4F1C1C11" w:rsidR="00B749DB" w:rsidRPr="004910B3" w:rsidRDefault="00C155F1" w:rsidP="00C155F1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C155F1">
              <w:rPr>
                <w:rFonts w:cs="Arial"/>
                <w:color w:val="000000" w:themeColor="text1"/>
                <w:sz w:val="20"/>
                <w:szCs w:val="20"/>
              </w:rPr>
              <w:t>Decrease the percentage of incomplete referral documentation received from inpatient department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C155F1">
              <w:rPr>
                <w:rFonts w:cs="Arial"/>
                <w:color w:val="000000" w:themeColor="text1"/>
                <w:sz w:val="20"/>
                <w:szCs w:val="20"/>
              </w:rPr>
              <w:t>by 50% by the end of August 2017.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77777777" w:rsidR="00B749DB" w:rsidRPr="0037000B" w:rsidRDefault="00EB31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77777777" w:rsidR="00B749DB" w:rsidRPr="0037000B" w:rsidRDefault="00EB31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47AD1D61" w:rsidR="00B749DB" w:rsidRPr="0037000B" w:rsidRDefault="00EB31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FE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77777777" w:rsidR="00B749DB" w:rsidRPr="0037000B" w:rsidRDefault="00EB31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3B885E45" w:rsidR="00B749DB" w:rsidRPr="0037000B" w:rsidRDefault="00EB313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FE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EB3132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68D7D3AB" w:rsidR="00B749DB" w:rsidRPr="0037000B" w:rsidRDefault="00CD4FED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74E3F98" w14:textId="77777777" w:rsidTr="00E212B0">
        <w:trPr>
          <w:trHeight w:val="1295"/>
        </w:trPr>
        <w:tc>
          <w:tcPr>
            <w:tcW w:w="10512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Measures: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98748F">
                    <w:rPr>
                      <w:rFonts w:cs="Arial"/>
                      <w:b/>
                      <w:color w:val="F99F2A" w:themeColor="accent3"/>
                      <w:sz w:val="24"/>
                      <w:szCs w:val="24"/>
                    </w:rPr>
                    <w:t>Targets:</w:t>
                  </w:r>
                  <w:r w:rsidRPr="0098748F">
                    <w:rPr>
                      <w:rFonts w:cs="Arial"/>
                      <w:b/>
                      <w:color w:val="F99F2A" w:themeColor="accent3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57E8F556" w14:textId="689E6871" w:rsidR="00B749DB" w:rsidRPr="00CD4FED" w:rsidRDefault="00CD4FED" w:rsidP="00CD4FE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T</w:t>
                  </w:r>
                  <w:r w:rsidRPr="00CD4FED">
                    <w:rPr>
                      <w:rFonts w:cs="Arial"/>
                      <w:color w:val="000000" w:themeColor="text1"/>
                      <w:sz w:val="20"/>
                    </w:rPr>
                    <w:t>he percentage of incomplete referral documentation</w:t>
                  </w:r>
                  <w:r w:rsidR="00EB3132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EB3132" w:rsidRPr="00C155F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from inpatient department</w:t>
                  </w:r>
                </w:p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7B06A38" w14:textId="3CAFD7DD" w:rsidR="00B749DB" w:rsidRPr="00CD4FED" w:rsidRDefault="00CD4FED" w:rsidP="00CD4FE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D4FED">
                    <w:rPr>
                      <w:rFonts w:cs="Arial"/>
                      <w:color w:val="000000" w:themeColor="text1"/>
                      <w:sz w:val="20"/>
                    </w:rPr>
                    <w:t xml:space="preserve"> Decrease the percentage of incomplete referral documentation received from inpatient department by 50% by the end of August 2017.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E212B0">
        <w:trPr>
          <w:trHeight w:val="1894"/>
        </w:trPr>
        <w:tc>
          <w:tcPr>
            <w:tcW w:w="10512" w:type="dxa"/>
          </w:tcPr>
          <w:p w14:paraId="0FEA967E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lastRenderedPageBreak/>
              <w:t>Interventions:</w:t>
            </w:r>
            <w:r w:rsidRPr="0098748F">
              <w:rPr>
                <w:rFonts w:cs="Arial"/>
                <w:b/>
                <w:color w:val="F99F2A" w:themeColor="accent3"/>
                <w:sz w:val="32"/>
                <w:szCs w:val="36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50B939B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>HHC E-referral was updated in ICIS – mandatory field for new requirements with collaboration of HITA (Riyadh &amp; Jeddah) and GO-LIVE last May 07, 2017.</w:t>
            </w:r>
          </w:p>
          <w:p w14:paraId="482A5DC7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 xml:space="preserve">Wound care – name of surgeon accepting the patient /type of wound/ location of wound/ </w:t>
            </w:r>
          </w:p>
          <w:p w14:paraId="1C5C652D" w14:textId="1A1634CD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>Special instructions/ type of dressing/ frequency/ duration.</w:t>
            </w:r>
          </w:p>
          <w:p w14:paraId="1FA22692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>Medication therapy (IV antibiotic, Intramuscular &amp; Subcutaneous injection)</w:t>
            </w:r>
          </w:p>
          <w:p w14:paraId="2AAE83DC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>Include the needed medication (order must be in HHC active recurring encounter)</w:t>
            </w:r>
          </w:p>
          <w:p w14:paraId="04055A14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>Initial dose given in the hospital.</w:t>
            </w:r>
          </w:p>
          <w:p w14:paraId="5C5D6BDC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 xml:space="preserve">Nasogastric tube &amp; Foley’s catheter change – include size/ frequency/ duration/ special </w:t>
            </w:r>
          </w:p>
          <w:p w14:paraId="06FFB26A" w14:textId="33010B16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 xml:space="preserve"> instruction ( NGT inserted under fluoroscopy not accepted)</w:t>
            </w:r>
          </w:p>
          <w:p w14:paraId="44A06693" w14:textId="332C3F64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 xml:space="preserve">Blood draw - must enter in Power chart as future orders. </w:t>
            </w:r>
          </w:p>
          <w:p w14:paraId="588BEBDE" w14:textId="77777777" w:rsidR="00FA710C" w:rsidRPr="00EB3132" w:rsidRDefault="00FA710C" w:rsidP="00FA710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B3132">
              <w:rPr>
                <w:rFonts w:cs="Arial"/>
                <w:color w:val="000000" w:themeColor="text1"/>
                <w:sz w:val="20"/>
                <w:szCs w:val="20"/>
              </w:rPr>
              <w:t>In service PowerPoint presentation rendered in all inpatient unit/department. Specific pointers rendered:</w:t>
            </w:r>
          </w:p>
          <w:p w14:paraId="64BBDEA6" w14:textId="77777777" w:rsidR="00FA710C" w:rsidRPr="00EB3132" w:rsidRDefault="00FA710C" w:rsidP="00FA71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142" w:type="dxa"/>
              <w:tblLook w:val="04A0" w:firstRow="1" w:lastRow="0" w:firstColumn="1" w:lastColumn="0" w:noHBand="0" w:noVBand="1"/>
            </w:tblPr>
            <w:tblGrid>
              <w:gridCol w:w="4153"/>
              <w:gridCol w:w="3160"/>
            </w:tblGrid>
            <w:tr w:rsidR="00FA710C" w14:paraId="06F09FC8" w14:textId="77777777" w:rsidTr="0007264A">
              <w:tc>
                <w:tcPr>
                  <w:tcW w:w="4153" w:type="dxa"/>
                </w:tcPr>
                <w:p w14:paraId="13BF6D88" w14:textId="77777777" w:rsidR="00FA710C" w:rsidRPr="0055381E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5381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UNIT / DEPARTMENT</w:t>
                  </w:r>
                </w:p>
              </w:tc>
              <w:tc>
                <w:tcPr>
                  <w:tcW w:w="3160" w:type="dxa"/>
                </w:tcPr>
                <w:p w14:paraId="31D9ADE3" w14:textId="77777777" w:rsidR="00FA710C" w:rsidRPr="0055381E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5381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ATTENDEES</w:t>
                  </w:r>
                </w:p>
              </w:tc>
            </w:tr>
            <w:tr w:rsidR="00FA710C" w14:paraId="39C56075" w14:textId="77777777" w:rsidTr="0007264A">
              <w:tc>
                <w:tcPr>
                  <w:tcW w:w="4153" w:type="dxa"/>
                </w:tcPr>
                <w:p w14:paraId="582E659D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5 South  (Medical ward)</w:t>
                  </w:r>
                </w:p>
              </w:tc>
              <w:tc>
                <w:tcPr>
                  <w:tcW w:w="3160" w:type="dxa"/>
                </w:tcPr>
                <w:p w14:paraId="06FD2D74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14 staff</w:t>
                  </w:r>
                </w:p>
              </w:tc>
            </w:tr>
            <w:tr w:rsidR="00FA710C" w14:paraId="5A569E5D" w14:textId="77777777" w:rsidTr="0007264A">
              <w:tc>
                <w:tcPr>
                  <w:tcW w:w="4153" w:type="dxa"/>
                </w:tcPr>
                <w:p w14:paraId="64122D83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5 North  (Medical ward)       </w:t>
                  </w:r>
                </w:p>
              </w:tc>
              <w:tc>
                <w:tcPr>
                  <w:tcW w:w="3160" w:type="dxa"/>
                </w:tcPr>
                <w:p w14:paraId="2868DF98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13 staff </w:t>
                  </w:r>
                </w:p>
              </w:tc>
            </w:tr>
            <w:tr w:rsidR="00FA710C" w14:paraId="3BBF587C" w14:textId="77777777" w:rsidTr="0007264A">
              <w:tc>
                <w:tcPr>
                  <w:tcW w:w="4153" w:type="dxa"/>
                </w:tcPr>
                <w:p w14:paraId="48062EF3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4 South (Oncology ward)        </w:t>
                  </w:r>
                </w:p>
              </w:tc>
              <w:tc>
                <w:tcPr>
                  <w:tcW w:w="3160" w:type="dxa"/>
                </w:tcPr>
                <w:p w14:paraId="3043FFF6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15 staff</w:t>
                  </w:r>
                </w:p>
              </w:tc>
            </w:tr>
            <w:tr w:rsidR="00FA710C" w14:paraId="093731FA" w14:textId="77777777" w:rsidTr="0007264A">
              <w:tc>
                <w:tcPr>
                  <w:tcW w:w="4153" w:type="dxa"/>
                </w:tcPr>
                <w:p w14:paraId="36B257E7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4 North (Oncology ward)</w:t>
                  </w:r>
                </w:p>
              </w:tc>
              <w:tc>
                <w:tcPr>
                  <w:tcW w:w="3160" w:type="dxa"/>
                </w:tcPr>
                <w:p w14:paraId="72E2FE00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18 staff</w:t>
                  </w:r>
                </w:p>
              </w:tc>
            </w:tr>
            <w:tr w:rsidR="00FA710C" w14:paraId="73C00DC2" w14:textId="77777777" w:rsidTr="0007264A">
              <w:tc>
                <w:tcPr>
                  <w:tcW w:w="4153" w:type="dxa"/>
                </w:tcPr>
                <w:p w14:paraId="2584ED8F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3 North/South (Surgical ward)</w:t>
                  </w:r>
                </w:p>
              </w:tc>
              <w:tc>
                <w:tcPr>
                  <w:tcW w:w="3160" w:type="dxa"/>
                </w:tcPr>
                <w:p w14:paraId="779A4117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43 staff </w:t>
                  </w:r>
                </w:p>
              </w:tc>
            </w:tr>
            <w:tr w:rsidR="00FA710C" w14:paraId="4B14064A" w14:textId="77777777" w:rsidTr="0007264A">
              <w:tc>
                <w:tcPr>
                  <w:tcW w:w="4153" w:type="dxa"/>
                </w:tcPr>
                <w:p w14:paraId="29DCB5CD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2 North/South (CVT)</w:t>
                  </w:r>
                </w:p>
              </w:tc>
              <w:tc>
                <w:tcPr>
                  <w:tcW w:w="3160" w:type="dxa"/>
                </w:tcPr>
                <w:p w14:paraId="133749B9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39 staff</w:t>
                  </w:r>
                </w:p>
              </w:tc>
            </w:tr>
            <w:tr w:rsidR="00FA710C" w14:paraId="5498D3C7" w14:textId="77777777" w:rsidTr="0007264A">
              <w:tc>
                <w:tcPr>
                  <w:tcW w:w="4153" w:type="dxa"/>
                </w:tcPr>
                <w:p w14:paraId="5A4214AE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1 South (Neuroscience)</w:t>
                  </w:r>
                </w:p>
              </w:tc>
              <w:tc>
                <w:tcPr>
                  <w:tcW w:w="3160" w:type="dxa"/>
                </w:tcPr>
                <w:p w14:paraId="34204236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12 staff</w:t>
                  </w:r>
                </w:p>
              </w:tc>
            </w:tr>
            <w:tr w:rsidR="00FA710C" w14:paraId="70593CCF" w14:textId="77777777" w:rsidTr="0007264A">
              <w:tc>
                <w:tcPr>
                  <w:tcW w:w="4153" w:type="dxa"/>
                </w:tcPr>
                <w:p w14:paraId="0601620C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Department of Emergency</w:t>
                  </w:r>
                </w:p>
              </w:tc>
              <w:tc>
                <w:tcPr>
                  <w:tcW w:w="3160" w:type="dxa"/>
                </w:tcPr>
                <w:p w14:paraId="7E1B1749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44 staff</w:t>
                  </w:r>
                </w:p>
              </w:tc>
            </w:tr>
            <w:tr w:rsidR="00FA710C" w14:paraId="503FC5BC" w14:textId="77777777" w:rsidTr="0007264A">
              <w:tc>
                <w:tcPr>
                  <w:tcW w:w="4153" w:type="dxa"/>
                </w:tcPr>
                <w:p w14:paraId="2A7EC39E" w14:textId="77777777" w:rsidR="00FA710C" w:rsidRPr="00EB3132" w:rsidRDefault="00FA710C" w:rsidP="00FA710C">
                  <w:pPr>
                    <w:pStyle w:val="Normal0"/>
                    <w:numPr>
                      <w:ilvl w:val="0"/>
                      <w:numId w:val="30"/>
                    </w:numPr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>24 Hours Admission unit</w:t>
                  </w:r>
                </w:p>
              </w:tc>
              <w:tc>
                <w:tcPr>
                  <w:tcW w:w="3160" w:type="dxa"/>
                </w:tcPr>
                <w:p w14:paraId="5C2345F6" w14:textId="77777777" w:rsidR="00FA710C" w:rsidRPr="00EB3132" w:rsidRDefault="00FA710C" w:rsidP="00FA710C">
                  <w:pPr>
                    <w:pStyle w:val="Normal0"/>
                    <w:tabs>
                      <w:tab w:val="left" w:pos="240"/>
                      <w:tab w:val="left" w:pos="960"/>
                      <w:tab w:val="left" w:pos="1680"/>
                      <w:tab w:val="left" w:pos="2400"/>
                      <w:tab w:val="left" w:pos="3120"/>
                      <w:tab w:val="left" w:pos="3840"/>
                      <w:tab w:val="left" w:pos="4560"/>
                      <w:tab w:val="left" w:pos="5280"/>
                      <w:tab w:val="left" w:pos="6000"/>
                      <w:tab w:val="left" w:pos="6720"/>
                      <w:tab w:val="left" w:pos="7440"/>
                      <w:tab w:val="left" w:pos="8160"/>
                      <w:tab w:val="left" w:pos="8880"/>
                      <w:tab w:val="left" w:pos="9600"/>
                    </w:tabs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B31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15 staff</w:t>
                  </w:r>
                </w:p>
              </w:tc>
            </w:tr>
          </w:tbl>
          <w:p w14:paraId="3694E053" w14:textId="77777777" w:rsidR="00B749DB" w:rsidRDefault="00B749DB" w:rsidP="00FA710C">
            <w:pPr>
              <w:rPr>
                <w:rFonts w:cs="Arial"/>
                <w:color w:val="7F7F7F" w:themeColor="text2"/>
                <w:sz w:val="16"/>
              </w:rPr>
            </w:pPr>
          </w:p>
          <w:p w14:paraId="359C2562" w14:textId="77777777" w:rsidR="00FA710C" w:rsidRPr="00FA710C" w:rsidRDefault="00FA710C" w:rsidP="00FA710C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63281D9D" w14:textId="77777777" w:rsidTr="00E212B0">
        <w:trPr>
          <w:trHeight w:val="1894"/>
        </w:trPr>
        <w:tc>
          <w:tcPr>
            <w:tcW w:w="10512" w:type="dxa"/>
          </w:tcPr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98748F">
              <w:rPr>
                <w:rFonts w:cs="Arial"/>
                <w:b/>
                <w:color w:val="F99F2A" w:themeColor="accent3"/>
                <w:sz w:val="24"/>
                <w:szCs w:val="24"/>
              </w:rPr>
              <w:t>Results:</w:t>
            </w:r>
            <w:r w:rsidRPr="0098748F">
              <w:rPr>
                <w:rFonts w:cs="Arial"/>
                <w:b/>
                <w:color w:val="F99F2A" w:themeColor="accent3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F2226C2" w14:textId="77777777" w:rsidR="00FA710C" w:rsidRPr="00FA710C" w:rsidRDefault="00FA710C" w:rsidP="00FA710C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FA710C">
              <w:rPr>
                <w:rFonts w:cs="Arial"/>
                <w:color w:val="000000" w:themeColor="text1"/>
                <w:sz w:val="20"/>
              </w:rPr>
              <w:t>Data before the PI project May Jun, Jul, Aug (2016) : 210 out of 263 = 80%</w:t>
            </w:r>
          </w:p>
          <w:p w14:paraId="2C359800" w14:textId="77777777" w:rsidR="00FA710C" w:rsidRPr="00FA710C" w:rsidRDefault="00FA710C" w:rsidP="00FA710C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FA710C">
              <w:rPr>
                <w:rFonts w:cs="Arial"/>
                <w:color w:val="000000" w:themeColor="text1"/>
                <w:sz w:val="20"/>
              </w:rPr>
              <w:t>Data after the PI project  May Jun, Jul, Aug (2017) : 23 out of 150 = 15.3%</w:t>
            </w:r>
          </w:p>
          <w:p w14:paraId="04AEAD21" w14:textId="77777777" w:rsidR="00B749DB" w:rsidRDefault="00FA710C" w:rsidP="00FA710C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64C1658" wp14:editId="76CF2AED">
                  <wp:extent cx="4297680" cy="2560320"/>
                  <wp:effectExtent l="0" t="0" r="7620" b="1143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C0A2750" w14:textId="77777777" w:rsidR="008513CE" w:rsidRDefault="008513CE" w:rsidP="00FA710C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235592E2" w14:textId="77777777" w:rsidR="00FA710C" w:rsidRPr="00FA710C" w:rsidRDefault="00FA710C" w:rsidP="00FA710C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FA710C">
              <w:rPr>
                <w:rFonts w:cs="Arial"/>
                <w:color w:val="000000" w:themeColor="text1"/>
                <w:sz w:val="20"/>
              </w:rPr>
              <w:t>Conclusion: In 2016 80% incomplete documentation referral reduced to 15% in 2017.</w:t>
            </w:r>
          </w:p>
          <w:p w14:paraId="24F0B967" w14:textId="77777777" w:rsidR="00FA710C" w:rsidRPr="00FA710C" w:rsidRDefault="00FA710C" w:rsidP="00FA710C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FA710C">
              <w:rPr>
                <w:rFonts w:cs="Arial"/>
                <w:color w:val="000000" w:themeColor="text1"/>
                <w:sz w:val="20"/>
              </w:rPr>
              <w:t xml:space="preserve">                    In 2016 20% complete documentation referral now reached 85% in 2017.</w:t>
            </w:r>
          </w:p>
          <w:p w14:paraId="7C8A5D3E" w14:textId="42055AF7" w:rsidR="00FA710C" w:rsidRPr="00274E65" w:rsidRDefault="00FA710C" w:rsidP="00FA710C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FA710C">
              <w:rPr>
                <w:rFonts w:cs="Arial"/>
                <w:color w:val="000000" w:themeColor="text1"/>
                <w:sz w:val="20"/>
              </w:rPr>
              <w:t xml:space="preserve">                    Achieved more than the 50% target which exceed our goal</w:t>
            </w: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98748F" w:rsidRDefault="00B749DB" w:rsidP="00E212B0">
            <w:pPr>
              <w:rPr>
                <w:rFonts w:cs="Arial"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98748F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98748F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50FCFDF4" w14:textId="77777777" w:rsidTr="008513CE">
        <w:trPr>
          <w:trHeight w:val="46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18C7970B" w:rsidR="00BF5A2A" w:rsidRPr="00DD439D" w:rsidRDefault="008513CE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8513CE">
                  <w:rPr>
                    <w:rFonts w:cs="Arial"/>
                    <w:sz w:val="20"/>
                    <w:szCs w:val="20"/>
                  </w:rPr>
                  <w:t xml:space="preserve">Rosette Bascara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70F44" w14:textId="51220019" w:rsidR="008513CE" w:rsidRPr="008513CE" w:rsidRDefault="008513CE" w:rsidP="008513C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Yolanda Catayna </w:t>
                </w:r>
              </w:p>
              <w:p w14:paraId="05916CD6" w14:textId="63D8789A" w:rsidR="008513CE" w:rsidRPr="008513CE" w:rsidRDefault="008513CE" w:rsidP="008513C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Naomi Tuiafo  </w:t>
                </w:r>
              </w:p>
              <w:p w14:paraId="37090C02" w14:textId="431C9CB2" w:rsidR="008513CE" w:rsidRPr="008513CE" w:rsidRDefault="008513CE" w:rsidP="008513C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Batool Al Hamdi </w:t>
                </w:r>
              </w:p>
              <w:p w14:paraId="711E8064" w14:textId="0336AA39" w:rsidR="008513CE" w:rsidRPr="008513CE" w:rsidRDefault="008513CE" w:rsidP="008513C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Jenelyn Bagayo</w:t>
                </w:r>
              </w:p>
              <w:p w14:paraId="3A306A19" w14:textId="77777777" w:rsidR="008513CE" w:rsidRPr="008513CE" w:rsidRDefault="008513CE" w:rsidP="008513CE">
                <w:pPr>
                  <w:rPr>
                    <w:rFonts w:cs="Arial"/>
                    <w:sz w:val="20"/>
                    <w:szCs w:val="20"/>
                  </w:rPr>
                </w:pPr>
                <w:r w:rsidRPr="008513CE">
                  <w:rPr>
                    <w:rFonts w:cs="Arial"/>
                    <w:sz w:val="20"/>
                    <w:szCs w:val="20"/>
                  </w:rPr>
                  <w:t>Analee Erie</w:t>
                </w:r>
              </w:p>
              <w:p w14:paraId="7456CF0A" w14:textId="6E631EF7" w:rsidR="00BF5A2A" w:rsidRPr="00DD439D" w:rsidRDefault="008513CE" w:rsidP="008513CE">
                <w:pPr>
                  <w:rPr>
                    <w:rFonts w:cs="Arial"/>
                    <w:sz w:val="20"/>
                    <w:szCs w:val="20"/>
                  </w:rPr>
                </w:pPr>
                <w:r w:rsidRPr="008513CE">
                  <w:rPr>
                    <w:rFonts w:cs="Arial"/>
                    <w:sz w:val="20"/>
                    <w:szCs w:val="20"/>
                  </w:rPr>
                  <w:t>Nour Al-Attas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348A" w14:textId="77777777" w:rsidR="00C60581" w:rsidRDefault="00C60581" w:rsidP="00DA3815">
      <w:pPr>
        <w:spacing w:line="240" w:lineRule="auto"/>
      </w:pPr>
      <w:r>
        <w:separator/>
      </w:r>
    </w:p>
  </w:endnote>
  <w:endnote w:type="continuationSeparator" w:id="0">
    <w:p w14:paraId="24871603" w14:textId="77777777" w:rsidR="00C60581" w:rsidRDefault="00C605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E1F4" w14:textId="77777777" w:rsidR="00C60581" w:rsidRDefault="00C60581" w:rsidP="00DA3815">
      <w:pPr>
        <w:spacing w:line="240" w:lineRule="auto"/>
      </w:pPr>
      <w:r>
        <w:separator/>
      </w:r>
    </w:p>
  </w:footnote>
  <w:footnote w:type="continuationSeparator" w:id="0">
    <w:p w14:paraId="15702E34" w14:textId="77777777" w:rsidR="00C60581" w:rsidRDefault="00C605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B0E"/>
    <w:multiLevelType w:val="hybridMultilevel"/>
    <w:tmpl w:val="28B63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85C5C"/>
    <w:multiLevelType w:val="hybridMultilevel"/>
    <w:tmpl w:val="21AC3D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0A65"/>
    <w:multiLevelType w:val="hybridMultilevel"/>
    <w:tmpl w:val="E7846082"/>
    <w:lvl w:ilvl="0" w:tplc="0409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41C7"/>
    <w:multiLevelType w:val="hybridMultilevel"/>
    <w:tmpl w:val="61BCF8A2"/>
    <w:lvl w:ilvl="0" w:tplc="B024D0C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5A9B"/>
    <w:multiLevelType w:val="hybridMultilevel"/>
    <w:tmpl w:val="0B727B68"/>
    <w:lvl w:ilvl="0" w:tplc="BB0AE08C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B6F00"/>
    <w:multiLevelType w:val="hybridMultilevel"/>
    <w:tmpl w:val="48EE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60569"/>
    <w:multiLevelType w:val="hybridMultilevel"/>
    <w:tmpl w:val="C0784BB2"/>
    <w:lvl w:ilvl="0" w:tplc="B024D0C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556B2FD8"/>
    <w:multiLevelType w:val="hybridMultilevel"/>
    <w:tmpl w:val="6BF293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590B"/>
    <w:multiLevelType w:val="hybridMultilevel"/>
    <w:tmpl w:val="8F80B5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35"/>
  </w:num>
  <w:num w:numId="5">
    <w:abstractNumId w:val="2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31"/>
  </w:num>
  <w:num w:numId="12">
    <w:abstractNumId w:val="30"/>
  </w:num>
  <w:num w:numId="13">
    <w:abstractNumId w:val="8"/>
  </w:num>
  <w:num w:numId="14">
    <w:abstractNumId w:val="22"/>
  </w:num>
  <w:num w:numId="15">
    <w:abstractNumId w:val="25"/>
  </w:num>
  <w:num w:numId="16">
    <w:abstractNumId w:val="36"/>
  </w:num>
  <w:num w:numId="17">
    <w:abstractNumId w:val="26"/>
  </w:num>
  <w:num w:numId="18">
    <w:abstractNumId w:val="4"/>
  </w:num>
  <w:num w:numId="19">
    <w:abstractNumId w:val="21"/>
  </w:num>
  <w:num w:numId="20">
    <w:abstractNumId w:val="13"/>
  </w:num>
  <w:num w:numId="21">
    <w:abstractNumId w:val="29"/>
  </w:num>
  <w:num w:numId="22">
    <w:abstractNumId w:val="20"/>
  </w:num>
  <w:num w:numId="23">
    <w:abstractNumId w:val="15"/>
  </w:num>
  <w:num w:numId="24">
    <w:abstractNumId w:val="17"/>
  </w:num>
  <w:num w:numId="25">
    <w:abstractNumId w:val="37"/>
  </w:num>
  <w:num w:numId="26">
    <w:abstractNumId w:val="33"/>
  </w:num>
  <w:num w:numId="27">
    <w:abstractNumId w:val="14"/>
  </w:num>
  <w:num w:numId="28">
    <w:abstractNumId w:val="34"/>
  </w:num>
  <w:num w:numId="29">
    <w:abstractNumId w:val="28"/>
  </w:num>
  <w:num w:numId="30">
    <w:abstractNumId w:val="16"/>
  </w:num>
  <w:num w:numId="31">
    <w:abstractNumId w:val="24"/>
  </w:num>
  <w:num w:numId="32">
    <w:abstractNumId w:val="7"/>
  </w:num>
  <w:num w:numId="33">
    <w:abstractNumId w:val="0"/>
  </w:num>
  <w:num w:numId="34">
    <w:abstractNumId w:val="23"/>
  </w:num>
  <w:num w:numId="35">
    <w:abstractNumId w:val="5"/>
  </w:num>
  <w:num w:numId="36">
    <w:abstractNumId w:val="3"/>
  </w:num>
  <w:num w:numId="37">
    <w:abstractNumId w:val="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3E5B84"/>
    <w:rsid w:val="004104F7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04AA7"/>
    <w:rsid w:val="00847F33"/>
    <w:rsid w:val="008513CE"/>
    <w:rsid w:val="008B786E"/>
    <w:rsid w:val="008E6640"/>
    <w:rsid w:val="00923B4A"/>
    <w:rsid w:val="00944197"/>
    <w:rsid w:val="00964042"/>
    <w:rsid w:val="0097107A"/>
    <w:rsid w:val="00981B8B"/>
    <w:rsid w:val="0098748F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93BC2"/>
    <w:rsid w:val="00BD5296"/>
    <w:rsid w:val="00BE35DC"/>
    <w:rsid w:val="00BE6482"/>
    <w:rsid w:val="00BF3E2E"/>
    <w:rsid w:val="00BF5A2A"/>
    <w:rsid w:val="00C155F1"/>
    <w:rsid w:val="00C345DC"/>
    <w:rsid w:val="00C441A9"/>
    <w:rsid w:val="00C60581"/>
    <w:rsid w:val="00C7337A"/>
    <w:rsid w:val="00C84A93"/>
    <w:rsid w:val="00C94ACA"/>
    <w:rsid w:val="00CB75A8"/>
    <w:rsid w:val="00CC0AD8"/>
    <w:rsid w:val="00CD0A93"/>
    <w:rsid w:val="00CD4FED"/>
    <w:rsid w:val="00D1655C"/>
    <w:rsid w:val="00DA3815"/>
    <w:rsid w:val="00DD439D"/>
    <w:rsid w:val="00E23C1B"/>
    <w:rsid w:val="00E53924"/>
    <w:rsid w:val="00EB0D7B"/>
    <w:rsid w:val="00EB3132"/>
    <w:rsid w:val="00ED38E1"/>
    <w:rsid w:val="00F11F8C"/>
    <w:rsid w:val="00F3533A"/>
    <w:rsid w:val="00F63B9D"/>
    <w:rsid w:val="00F66496"/>
    <w:rsid w:val="00F74338"/>
    <w:rsid w:val="00FA710C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  <w15:docId w15:val="{3E632803-947F-41E5-B5FF-10149CB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5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FA710C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60629921259836E-2"/>
          <c:y val="0.15788203557888597"/>
          <c:w val="0.87759492563429575"/>
          <c:h val="0.6361599591717701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Sheet1!$A$1:$A$4</c:f>
              <c:strCache>
                <c:ptCount val="4"/>
                <c:pt idx="0">
                  <c:v>Incomplete documentation referral 2016</c:v>
                </c:pt>
                <c:pt idx="1">
                  <c:v>Incomplete documentation referral 2017</c:v>
                </c:pt>
                <c:pt idx="2">
                  <c:v>Complete documentation referral 2016</c:v>
                </c:pt>
                <c:pt idx="3">
                  <c:v>Complete documentation referral 2017</c:v>
                </c:pt>
              </c:strCache>
            </c:strRef>
          </c:cat>
          <c:val>
            <c:numRef>
              <c:f>Sheet1!$B$1:$B$4</c:f>
              <c:numCache>
                <c:formatCode>0%</c:formatCode>
                <c:ptCount val="4"/>
                <c:pt idx="0">
                  <c:v>0.8</c:v>
                </c:pt>
                <c:pt idx="1">
                  <c:v>0.153</c:v>
                </c:pt>
                <c:pt idx="2">
                  <c:v>0.2</c:v>
                </c:pt>
                <c:pt idx="3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042080"/>
        <c:axId val="108541152"/>
        <c:axId val="0"/>
      </c:bar3DChart>
      <c:catAx>
        <c:axId val="10804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541152"/>
        <c:crosses val="autoZero"/>
        <c:auto val="1"/>
        <c:lblAlgn val="ctr"/>
        <c:lblOffset val="100"/>
        <c:noMultiLvlLbl val="0"/>
      </c:catAx>
      <c:valAx>
        <c:axId val="10854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042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0.06563</cdr:x>
      <cdr:y>0.00694</cdr:y>
    </cdr:from>
    <cdr:to>
      <cdr:x>0.95104</cdr:x>
      <cdr:y>0.09722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038" y="19050"/>
          <a:ext cx="4048126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effectLst/>
              <a:latin typeface="+mn-lt"/>
              <a:ea typeface="+mn-ea"/>
              <a:cs typeface="+mn-cs"/>
            </a:rPr>
            <a:t>HHC Percentage documentation referrals compliance comparison</a:t>
          </a:r>
          <a:endParaRPr lang="en-US" sz="1100" b="1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633787"/>
    <w:rsid w:val="007E62B5"/>
    <w:rsid w:val="009C63E1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D3A2-4C4D-4518-8D03-ECA4C0C5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7</cp:revision>
  <cp:lastPrinted>2017-12-31T20:40:00Z</cp:lastPrinted>
  <dcterms:created xsi:type="dcterms:W3CDTF">2018-01-23T11:13:00Z</dcterms:created>
  <dcterms:modified xsi:type="dcterms:W3CDTF">2018-05-01T09:09:00Z</dcterms:modified>
</cp:coreProperties>
</file>