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52C9B"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4DE8647B" w:rsidR="00B749DB" w:rsidRPr="00321654" w:rsidRDefault="00805E1B" w:rsidP="00E212B0">
                <w:pPr>
                  <w:rPr>
                    <w:rFonts w:cs="Arial"/>
                    <w:b/>
                    <w:color w:val="FFFFFF" w:themeColor="background1"/>
                    <w:sz w:val="20"/>
                    <w:szCs w:val="20"/>
                  </w:rPr>
                </w:pPr>
                <w:r w:rsidRPr="00805E1B">
                  <w:rPr>
                    <w:rFonts w:cs="Arial"/>
                    <w:color w:val="000000" w:themeColor="text1"/>
                    <w:sz w:val="20"/>
                    <w:szCs w:val="20"/>
                  </w:rPr>
                  <w:t>Improve Turnaround Time (TAT) of Pain Management for Patients With Severe Pain (Score 8-10)</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74E411F9" w:rsidR="00B749DB" w:rsidRPr="00321654" w:rsidRDefault="00951452"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17A31001" w:rsidR="00B749DB" w:rsidRPr="00321654" w:rsidRDefault="00990B2B" w:rsidP="00E212B0">
                <w:pPr>
                  <w:rPr>
                    <w:rFonts w:cs="Arial"/>
                    <w:color w:val="000000" w:themeColor="text1"/>
                    <w:sz w:val="20"/>
                  </w:rPr>
                </w:pPr>
                <w:r w:rsidRPr="00990B2B">
                  <w:rPr>
                    <w:rFonts w:cs="Arial"/>
                    <w:color w:val="000000" w:themeColor="text1"/>
                    <w:sz w:val="20"/>
                  </w:rPr>
                  <w:t>Department of Emergency Medicine</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49E8D9C8" w:rsidR="00B749DB" w:rsidRPr="00321654" w:rsidRDefault="00951452"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6-10-29T00:00:00Z">
              <w:dateFormat w:val="MM-DD-YYYY"/>
              <w:lid w:val="en-CA"/>
              <w:storeMappedDataAs w:val="dateTime"/>
              <w:calendar w:val="gregorian"/>
            </w:date>
          </w:sdtPr>
          <w:sdtEndPr/>
          <w:sdtContent>
            <w:tc>
              <w:tcPr>
                <w:tcW w:w="3505" w:type="dxa"/>
                <w:gridSpan w:val="2"/>
              </w:tcPr>
              <w:p w14:paraId="586E6AB4" w14:textId="23450FA9" w:rsidR="00B749DB" w:rsidRPr="00321654" w:rsidRDefault="000D2385" w:rsidP="00E212B0">
                <w:pPr>
                  <w:rPr>
                    <w:rFonts w:cs="Arial"/>
                    <w:color w:val="000000" w:themeColor="text1"/>
                    <w:sz w:val="20"/>
                  </w:rPr>
                </w:pPr>
                <w:r>
                  <w:rPr>
                    <w:rFonts w:cs="Arial"/>
                    <w:color w:val="000000" w:themeColor="text1"/>
                    <w:sz w:val="20"/>
                  </w:rPr>
                  <w:t>10-29-2016</w:t>
                </w:r>
              </w:p>
            </w:tc>
          </w:sdtContent>
        </w:sdt>
        <w:sdt>
          <w:sdtPr>
            <w:rPr>
              <w:rFonts w:cs="Arial"/>
              <w:color w:val="000000" w:themeColor="text1"/>
              <w:sz w:val="20"/>
            </w:rPr>
            <w:alias w:val="End"/>
            <w:tag w:val="End"/>
            <w:id w:val="-1904665263"/>
            <w:placeholder>
              <w:docPart w:val="AADF96D4783F4870BB70855B413C8FB6"/>
            </w:placeholder>
            <w:date w:fullDate="2017-05-31T00:00:00Z">
              <w:dateFormat w:val="MM-DD-YYYY"/>
              <w:lid w:val="en-CA"/>
              <w:storeMappedDataAs w:val="dateTime"/>
              <w:calendar w:val="gregorian"/>
            </w:date>
          </w:sdtPr>
          <w:sdtEndPr/>
          <w:sdtContent>
            <w:tc>
              <w:tcPr>
                <w:tcW w:w="3509" w:type="dxa"/>
              </w:tcPr>
              <w:p w14:paraId="1F00547C" w14:textId="3D0C05B2" w:rsidR="00B749DB" w:rsidRPr="00321654" w:rsidRDefault="000D2385" w:rsidP="00E212B0">
                <w:pPr>
                  <w:rPr>
                    <w:rFonts w:cs="Arial"/>
                    <w:color w:val="000000" w:themeColor="text1"/>
                    <w:sz w:val="20"/>
                  </w:rPr>
                </w:pPr>
                <w:r>
                  <w:rPr>
                    <w:rFonts w:cs="Arial"/>
                    <w:color w:val="000000" w:themeColor="text1"/>
                    <w:sz w:val="20"/>
                  </w:rPr>
                  <w:t>05-31-2017</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1C7C372E" w14:textId="2E45A5B2" w:rsidR="00B749DB" w:rsidRPr="00B67535" w:rsidRDefault="00C90950" w:rsidP="00E212B0">
                <w:pPr>
                  <w:rPr>
                    <w:rFonts w:cs="Arial"/>
                    <w:color w:val="00A3E4" w:themeColor="accent2"/>
                    <w:sz w:val="20"/>
                    <w:szCs w:val="20"/>
                  </w:rPr>
                </w:pPr>
                <w:r w:rsidRPr="00C90950">
                  <w:rPr>
                    <w:rFonts w:cs="Arial"/>
                    <w:color w:val="000000" w:themeColor="text1"/>
                    <w:sz w:val="20"/>
                    <w:szCs w:val="20"/>
                  </w:rPr>
                  <w:t>the TAT from triage to administer medication for the  patie</w:t>
                </w:r>
                <w:r>
                  <w:rPr>
                    <w:rFonts w:cs="Arial"/>
                    <w:color w:val="000000" w:themeColor="text1"/>
                    <w:sz w:val="20"/>
                    <w:szCs w:val="20"/>
                  </w:rPr>
                  <w:t xml:space="preserve">nts with severe pain  </w:t>
                </w:r>
                <w:r w:rsidRPr="00C90950">
                  <w:rPr>
                    <w:rFonts w:cs="Arial"/>
                    <w:color w:val="000000" w:themeColor="text1"/>
                    <w:sz w:val="20"/>
                    <w:szCs w:val="20"/>
                  </w:rPr>
                  <w:t xml:space="preserve"> (score 8-10) is 94 minutes &amp; TAT from medication administration to reassessment is 109 minutes which consider prolonged time</w:t>
                </w:r>
                <w:r>
                  <w:rPr>
                    <w:rFonts w:cs="Arial"/>
                    <w:color w:val="000000" w:themeColor="text1"/>
                    <w:sz w:val="20"/>
                    <w:szCs w:val="20"/>
                  </w:rPr>
                  <w:t xml:space="preserve">  </w:t>
                </w:r>
                <w:r w:rsidRPr="00C90950">
                  <w:rPr>
                    <w:rFonts w:cs="Arial"/>
                    <w:color w:val="000000" w:themeColor="text1"/>
                    <w:sz w:val="20"/>
                    <w:szCs w:val="20"/>
                  </w:rPr>
                  <w:t xml:space="preserve">in comparison to our guidelines  </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7C8A8734" w14:textId="67DFE318" w:rsidR="00C90950" w:rsidRPr="00C90950" w:rsidRDefault="00505A85" w:rsidP="00C90950">
            <w:pPr>
              <w:pStyle w:val="ListParagraph"/>
              <w:ind w:left="305"/>
              <w:rPr>
                <w:rFonts w:cs="Arial"/>
                <w:color w:val="000000" w:themeColor="text1"/>
                <w:sz w:val="20"/>
                <w:szCs w:val="20"/>
              </w:rPr>
            </w:pPr>
            <w:r>
              <w:rPr>
                <w:rFonts w:cs="Arial"/>
                <w:color w:val="000000" w:themeColor="text1"/>
                <w:sz w:val="20"/>
                <w:szCs w:val="20"/>
              </w:rPr>
              <w:t>1.</w:t>
            </w:r>
            <w:r w:rsidR="00C90950" w:rsidRPr="00C90950">
              <w:rPr>
                <w:rFonts w:cs="Arial"/>
                <w:color w:val="000000" w:themeColor="text1"/>
                <w:sz w:val="20"/>
                <w:szCs w:val="20"/>
              </w:rPr>
              <w:t xml:space="preserve">To reduce time frame from triage time to administer medication from 94 to 60 minutes  </w:t>
            </w:r>
          </w:p>
          <w:p w14:paraId="74F2C976" w14:textId="1AEB9C25" w:rsidR="00B749DB" w:rsidRPr="004910B3" w:rsidRDefault="00505A85" w:rsidP="00C90950">
            <w:pPr>
              <w:pStyle w:val="ListParagraph"/>
              <w:ind w:left="305"/>
              <w:rPr>
                <w:rFonts w:cs="Arial"/>
                <w:color w:val="000000" w:themeColor="text1"/>
                <w:sz w:val="20"/>
                <w:szCs w:val="20"/>
              </w:rPr>
            </w:pPr>
            <w:r>
              <w:rPr>
                <w:rFonts w:cs="Arial"/>
                <w:color w:val="000000" w:themeColor="text1"/>
                <w:sz w:val="20"/>
                <w:szCs w:val="20"/>
              </w:rPr>
              <w:t>2.</w:t>
            </w:r>
            <w:r w:rsidR="00C90950" w:rsidRPr="00C90950">
              <w:rPr>
                <w:rFonts w:cs="Arial"/>
                <w:color w:val="000000" w:themeColor="text1"/>
                <w:sz w:val="20"/>
                <w:szCs w:val="20"/>
              </w:rPr>
              <w:t>To reduce time frame from medication administration to reassessment  by 50% from the baseline data of 2016 (which was 109 minutes)</w:t>
            </w:r>
            <w:r w:rsidR="00C90950">
              <w:rPr>
                <w:rFonts w:cs="Arial"/>
                <w:color w:val="000000" w:themeColor="text1"/>
                <w:sz w:val="20"/>
                <w:szCs w:val="20"/>
              </w:rPr>
              <w:t xml:space="preserve"> </w:t>
            </w:r>
            <w:r w:rsidR="00C90950" w:rsidRPr="00C90950">
              <w:rPr>
                <w:rFonts w:cs="Arial"/>
                <w:color w:val="000000" w:themeColor="text1"/>
                <w:sz w:val="20"/>
                <w:szCs w:val="20"/>
              </w:rPr>
              <w:t>for the patients with severe pain (score 8-10)</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2CEB8F0F" w:rsidR="00B749DB" w:rsidRPr="0037000B" w:rsidRDefault="000D5142" w:rsidP="00E212B0">
            <w:pPr>
              <w:rPr>
                <w:rFonts w:cs="Arial"/>
                <w:sz w:val="20"/>
              </w:rPr>
            </w:pPr>
            <w:sdt>
              <w:sdtPr>
                <w:rPr>
                  <w:rFonts w:cs="Arial"/>
                  <w:sz w:val="20"/>
                </w:rPr>
                <w:alias w:val="Benefits"/>
                <w:tag w:val="Benefits"/>
                <w:id w:val="-1741322645"/>
                <w14:checkbox>
                  <w14:checked w14:val="1"/>
                  <w14:checkedState w14:val="2612" w14:font="MS Gothic"/>
                  <w14:uncheckedState w14:val="2610" w14:font="MS Gothic"/>
                </w14:checkbox>
              </w:sdtPr>
              <w:sdtEndPr/>
              <w:sdtContent>
                <w:r w:rsidR="00C90950">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42991FB3" w14:textId="0AAB11C0" w:rsidR="00B749DB" w:rsidRPr="0037000B" w:rsidRDefault="000D5142"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C90950">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7BA9545C" w:rsidR="00B749DB" w:rsidRPr="0037000B" w:rsidRDefault="000D5142"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C90950">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34A70522" w:rsidR="00B749DB" w:rsidRPr="0037000B" w:rsidRDefault="000D5142"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C90950">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77CF8935" w:rsidR="00B749DB" w:rsidRPr="0037000B" w:rsidRDefault="000D5142"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C90950">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0D5142"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214792DC" w:rsidR="00B749DB" w:rsidRPr="0037000B" w:rsidRDefault="00505A85" w:rsidP="00E212B0">
                <w:pPr>
                  <w:rPr>
                    <w:rFonts w:cs="Arial"/>
                    <w:b/>
                    <w:color w:val="00A3E4" w:themeColor="accent2"/>
                    <w:sz w:val="20"/>
                  </w:rPr>
                </w:pPr>
                <w:r>
                  <w:rPr>
                    <w:rFonts w:cs="Arial"/>
                    <w:b/>
                    <w:color w:val="00A3E4" w:themeColor="accent2"/>
                    <w:sz w:val="20"/>
                  </w:rPr>
                  <w:t>Timely</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68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682"/>
      </w:tblGrid>
      <w:tr w:rsidR="00B749DB" w:rsidRPr="00CD0A93" w14:paraId="774E3F98" w14:textId="77777777" w:rsidTr="00BB4436">
        <w:trPr>
          <w:trHeight w:val="1295"/>
        </w:trPr>
        <w:tc>
          <w:tcPr>
            <w:tcW w:w="1068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57E8F556" w14:textId="445597ED" w:rsidR="00B749DB" w:rsidRPr="00505A85" w:rsidRDefault="00C90950" w:rsidP="00505A85">
                  <w:pPr>
                    <w:rPr>
                      <w:rFonts w:cs="Arial"/>
                      <w:color w:val="000000" w:themeColor="text1"/>
                      <w:sz w:val="20"/>
                    </w:rPr>
                  </w:pPr>
                  <w:r w:rsidRPr="00505A85">
                    <w:rPr>
                      <w:rFonts w:cs="Arial"/>
                      <w:color w:val="000000" w:themeColor="text1"/>
                      <w:sz w:val="20"/>
                    </w:rPr>
                    <w:t>TAT of pain management for the patients with severe pain (score 8-10)</w:t>
                  </w:r>
                </w:p>
                <w:p w14:paraId="1F18DBAE" w14:textId="77777777" w:rsidR="00B749DB" w:rsidRDefault="00B749DB" w:rsidP="00E212B0">
                  <w:pPr>
                    <w:rPr>
                      <w:rFonts w:cs="Arial"/>
                      <w:color w:val="000000" w:themeColor="text1"/>
                      <w:sz w:val="20"/>
                    </w:rPr>
                  </w:pPr>
                </w:p>
              </w:tc>
              <w:tc>
                <w:tcPr>
                  <w:tcW w:w="5143" w:type="dxa"/>
                </w:tcPr>
                <w:p w14:paraId="154661FB" w14:textId="77777777" w:rsidR="00C90950" w:rsidRPr="00C90950" w:rsidRDefault="00C90950" w:rsidP="00C90950">
                  <w:pPr>
                    <w:pStyle w:val="ListParagraph"/>
                    <w:numPr>
                      <w:ilvl w:val="0"/>
                      <w:numId w:val="21"/>
                    </w:numPr>
                    <w:rPr>
                      <w:rFonts w:cs="Arial"/>
                      <w:color w:val="000000" w:themeColor="text1"/>
                      <w:sz w:val="20"/>
                    </w:rPr>
                  </w:pPr>
                  <w:r w:rsidRPr="00C90950">
                    <w:rPr>
                      <w:rFonts w:cs="Arial"/>
                      <w:color w:val="000000" w:themeColor="text1"/>
                      <w:sz w:val="20"/>
                    </w:rPr>
                    <w:t xml:space="preserve">To reduce time frame from triage time to administer medication from 94 to 60 minutes  </w:t>
                  </w:r>
                </w:p>
                <w:p w14:paraId="17B06A38" w14:textId="48298771" w:rsidR="00B749DB" w:rsidRPr="001942D3" w:rsidRDefault="00C90950" w:rsidP="00C90950">
                  <w:pPr>
                    <w:pStyle w:val="ListParagraph"/>
                    <w:numPr>
                      <w:ilvl w:val="0"/>
                      <w:numId w:val="21"/>
                    </w:numPr>
                    <w:rPr>
                      <w:rFonts w:cs="Arial"/>
                      <w:color w:val="000000" w:themeColor="text1"/>
                      <w:sz w:val="20"/>
                    </w:rPr>
                  </w:pPr>
                  <w:r w:rsidRPr="00C90950">
                    <w:rPr>
                      <w:rFonts w:cs="Arial"/>
                      <w:color w:val="000000" w:themeColor="text1"/>
                      <w:sz w:val="20"/>
                    </w:rPr>
                    <w:t>To reduce time frame from medication administration to reassessment  by 50% from the baseline data of 2016 (which was 109 minutes)</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BB4436">
        <w:trPr>
          <w:trHeight w:val="1894"/>
        </w:trPr>
        <w:tc>
          <w:tcPr>
            <w:tcW w:w="10682" w:type="dxa"/>
          </w:tcPr>
          <w:p w14:paraId="15900901" w14:textId="77777777" w:rsidR="000D5142" w:rsidRDefault="000D5142" w:rsidP="00E212B0">
            <w:pPr>
              <w:rPr>
                <w:rFonts w:cs="Arial"/>
                <w:b/>
                <w:color w:val="F99F2A" w:themeColor="accent3"/>
                <w:sz w:val="24"/>
                <w:szCs w:val="24"/>
              </w:rPr>
            </w:pPr>
          </w:p>
          <w:p w14:paraId="0FEA967E"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12A0B949" w14:textId="77777777" w:rsidR="00C90950" w:rsidRPr="000D5142" w:rsidRDefault="00C90950" w:rsidP="00C90950">
            <w:pPr>
              <w:pStyle w:val="ListParagraph"/>
              <w:numPr>
                <w:ilvl w:val="0"/>
                <w:numId w:val="9"/>
              </w:numPr>
              <w:rPr>
                <w:rFonts w:cs="Arial"/>
                <w:color w:val="000000" w:themeColor="text1"/>
                <w:sz w:val="20"/>
                <w:szCs w:val="20"/>
              </w:rPr>
            </w:pPr>
            <w:r w:rsidRPr="000D5142">
              <w:rPr>
                <w:rFonts w:cs="Arial"/>
                <w:color w:val="000000" w:themeColor="text1"/>
                <w:sz w:val="20"/>
                <w:szCs w:val="20"/>
              </w:rPr>
              <w:t>Multiple education sessions was done to increase staff awareness regarding the proper assessment of pain score and Hospital IPP of pain management and emphasize on providing management within the assigned time line</w:t>
            </w:r>
          </w:p>
          <w:p w14:paraId="3AF0DD7E" w14:textId="77777777" w:rsidR="00C90950" w:rsidRPr="000D5142" w:rsidRDefault="00C90950" w:rsidP="00C90950">
            <w:pPr>
              <w:pStyle w:val="ListParagraph"/>
              <w:numPr>
                <w:ilvl w:val="0"/>
                <w:numId w:val="9"/>
              </w:numPr>
              <w:rPr>
                <w:rFonts w:cs="Arial"/>
                <w:color w:val="000000" w:themeColor="text1"/>
                <w:sz w:val="20"/>
                <w:szCs w:val="20"/>
              </w:rPr>
            </w:pPr>
            <w:r w:rsidRPr="000D5142">
              <w:rPr>
                <w:rFonts w:cs="Arial"/>
                <w:color w:val="000000" w:themeColor="text1"/>
                <w:sz w:val="20"/>
                <w:szCs w:val="20"/>
              </w:rPr>
              <w:t>DEM nursing educational calendar was updated  by adding  monthly in-services about the pain management in DEM by Nurse Clinician or designee</w:t>
            </w:r>
          </w:p>
          <w:p w14:paraId="456DF88D" w14:textId="77777777" w:rsidR="00C90950" w:rsidRPr="000D5142" w:rsidRDefault="00C90950" w:rsidP="00C90950">
            <w:pPr>
              <w:pStyle w:val="ListParagraph"/>
              <w:numPr>
                <w:ilvl w:val="0"/>
                <w:numId w:val="9"/>
              </w:numPr>
              <w:rPr>
                <w:rFonts w:cs="Arial"/>
                <w:color w:val="000000" w:themeColor="text1"/>
                <w:sz w:val="20"/>
                <w:szCs w:val="20"/>
              </w:rPr>
            </w:pPr>
            <w:r w:rsidRPr="000D5142">
              <w:rPr>
                <w:rFonts w:cs="Arial"/>
                <w:color w:val="000000" w:themeColor="text1"/>
                <w:sz w:val="20"/>
                <w:szCs w:val="20"/>
              </w:rPr>
              <w:t xml:space="preserve">In-service for the physician on departmental meeting to increase the awareness of the physician for the pain management done by Dr. Sayed </w:t>
            </w:r>
          </w:p>
          <w:p w14:paraId="26E50188" w14:textId="77777777" w:rsidR="00C90950" w:rsidRPr="000D5142" w:rsidRDefault="00C90950" w:rsidP="00C90950">
            <w:pPr>
              <w:pStyle w:val="ListParagraph"/>
              <w:numPr>
                <w:ilvl w:val="0"/>
                <w:numId w:val="9"/>
              </w:numPr>
              <w:rPr>
                <w:rFonts w:cs="Arial"/>
                <w:color w:val="000000" w:themeColor="text1"/>
                <w:sz w:val="20"/>
                <w:szCs w:val="20"/>
              </w:rPr>
            </w:pPr>
            <w:r w:rsidRPr="000D5142">
              <w:rPr>
                <w:rFonts w:cs="Arial"/>
                <w:color w:val="000000" w:themeColor="text1"/>
                <w:sz w:val="20"/>
                <w:szCs w:val="20"/>
              </w:rPr>
              <w:t xml:space="preserve">Pre &amp; post data was shared with DEM nurses and physician to show the gaps and increase the compliance </w:t>
            </w:r>
          </w:p>
          <w:p w14:paraId="3A787CBF" w14:textId="77777777" w:rsidR="00C90950" w:rsidRPr="000D5142" w:rsidRDefault="00C90950" w:rsidP="00C90950">
            <w:pPr>
              <w:pStyle w:val="ListParagraph"/>
              <w:numPr>
                <w:ilvl w:val="0"/>
                <w:numId w:val="9"/>
              </w:numPr>
              <w:rPr>
                <w:rFonts w:cs="Arial"/>
                <w:color w:val="000000" w:themeColor="text1"/>
                <w:sz w:val="20"/>
                <w:szCs w:val="20"/>
              </w:rPr>
            </w:pPr>
            <w:r w:rsidRPr="000D5142">
              <w:rPr>
                <w:rFonts w:cs="Arial"/>
                <w:color w:val="000000" w:themeColor="text1"/>
                <w:sz w:val="20"/>
                <w:szCs w:val="20"/>
              </w:rPr>
              <w:t>Random audit conducted to ensure proper management is followed</w:t>
            </w:r>
          </w:p>
          <w:p w14:paraId="359C2562" w14:textId="3B568A06" w:rsidR="00B749DB" w:rsidRPr="00DD439D" w:rsidRDefault="00C90950" w:rsidP="00C90950">
            <w:pPr>
              <w:pStyle w:val="ListParagraph"/>
              <w:numPr>
                <w:ilvl w:val="0"/>
                <w:numId w:val="9"/>
              </w:numPr>
              <w:rPr>
                <w:rFonts w:cs="Arial"/>
                <w:color w:val="7F7F7F" w:themeColor="text2"/>
                <w:sz w:val="16"/>
              </w:rPr>
            </w:pPr>
            <w:r w:rsidRPr="000D5142">
              <w:rPr>
                <w:rFonts w:cs="Arial"/>
                <w:color w:val="000000" w:themeColor="text1"/>
                <w:sz w:val="20"/>
                <w:szCs w:val="20"/>
              </w:rPr>
              <w:t>Maintain the monitoring of the data in quarterly basis to insure improving and compliance</w:t>
            </w:r>
          </w:p>
        </w:tc>
      </w:tr>
      <w:tr w:rsidR="00B749DB" w:rsidRPr="00CD0A93" w14:paraId="63281D9D" w14:textId="77777777" w:rsidTr="00BB4436">
        <w:trPr>
          <w:trHeight w:val="1894"/>
        </w:trPr>
        <w:tc>
          <w:tcPr>
            <w:tcW w:w="10682" w:type="dxa"/>
          </w:tcPr>
          <w:p w14:paraId="51B61A6B" w14:textId="77777777" w:rsidR="000D5142" w:rsidRDefault="000D5142" w:rsidP="00E212B0">
            <w:pPr>
              <w:rPr>
                <w:rFonts w:cs="Arial"/>
                <w:b/>
                <w:color w:val="F99F2A" w:themeColor="accent3"/>
                <w:sz w:val="24"/>
                <w:szCs w:val="24"/>
              </w:rPr>
            </w:pPr>
          </w:p>
          <w:p w14:paraId="02E603AB" w14:textId="77777777" w:rsidR="00B749DB" w:rsidRPr="00DD439D" w:rsidRDefault="00B749DB" w:rsidP="00E212B0">
            <w:pPr>
              <w:rPr>
                <w:rFonts w:cs="Arial"/>
                <w:b/>
                <w:color w:val="00A3E4" w:themeColor="accent2"/>
                <w:sz w:val="20"/>
              </w:rPr>
            </w:pPr>
            <w:bookmarkStart w:id="0" w:name="_GoBack"/>
            <w:bookmarkEnd w:id="0"/>
            <w:r w:rsidRPr="0098748F">
              <w:rPr>
                <w:rFonts w:cs="Arial"/>
                <w:b/>
                <w:color w:val="F99F2A" w:themeColor="accent3"/>
                <w:sz w:val="24"/>
                <w:szCs w:val="24"/>
              </w:rPr>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C8A5D3E" w14:textId="3561201D" w:rsidR="00B749DB" w:rsidRPr="00274E65" w:rsidRDefault="00BB4436" w:rsidP="007B28D7">
            <w:pPr>
              <w:pStyle w:val="ListParagraph"/>
              <w:ind w:left="342"/>
              <w:rPr>
                <w:rFonts w:cs="Arial"/>
                <w:color w:val="000000" w:themeColor="text1"/>
                <w:sz w:val="20"/>
              </w:rPr>
            </w:pPr>
            <w:r>
              <w:rPr>
                <w:rFonts w:cs="Arial"/>
                <w:noProof/>
                <w:color w:val="000000" w:themeColor="text1"/>
                <w:sz w:val="20"/>
                <w:lang w:val="en-US"/>
              </w:rPr>
              <w:drawing>
                <wp:inline distT="0" distB="0" distL="0" distR="0" wp14:anchorId="2B56CDD6" wp14:editId="34172A9E">
                  <wp:extent cx="6141255"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255" cy="3108960"/>
                          </a:xfrm>
                          <a:prstGeom prst="rect">
                            <a:avLst/>
                          </a:prstGeom>
                          <a:noFill/>
                        </pic:spPr>
                      </pic:pic>
                    </a:graphicData>
                  </a:graphic>
                </wp:inline>
              </w:drawing>
            </w:r>
          </w:p>
        </w:tc>
      </w:tr>
    </w:tbl>
    <w:p w14:paraId="15050740" w14:textId="4776ABD8" w:rsidR="00B749DB" w:rsidRDefault="00BB4436" w:rsidP="00B749DB">
      <w:r w:rsidRPr="00BB4436">
        <w:t>Note: We have been able to reduce time frame from medication administration to reassessment by 55% which exceed our goal.</w:t>
      </w:r>
    </w:p>
    <w:p w14:paraId="2EAB6ACA" w14:textId="232DE85E" w:rsidR="00BB4436" w:rsidRDefault="00BB4436" w:rsidP="00B749DB">
      <w:r>
        <w:rPr>
          <w:noProof/>
          <w:lang w:val="en-US"/>
        </w:rPr>
        <w:drawing>
          <wp:inline distT="0" distB="0" distL="0" distR="0" wp14:anchorId="1AB1EB1D" wp14:editId="1A568499">
            <wp:extent cx="6400800" cy="328950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89508"/>
                    </a:xfrm>
                    <a:prstGeom prst="rect">
                      <a:avLst/>
                    </a:prstGeom>
                    <a:noFill/>
                  </pic:spPr>
                </pic:pic>
              </a:graphicData>
            </a:graphic>
          </wp:inline>
        </w:drawing>
      </w:r>
    </w:p>
    <w:p w14:paraId="754A9B23" w14:textId="77777777" w:rsidR="00BB4436" w:rsidRDefault="00BB4436" w:rsidP="00B749DB"/>
    <w:p w14:paraId="4A2E7950" w14:textId="77777777" w:rsidR="00BB4436" w:rsidRDefault="00BB4436"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sdt>
          <w:sdtPr>
            <w:rPr>
              <w:rFonts w:cs="Arial"/>
              <w:sz w:val="20"/>
              <w:szCs w:val="20"/>
            </w:rPr>
            <w:alias w:val="Project Leader"/>
            <w:tag w:val="Project Leader"/>
            <w:id w:val="-935974817"/>
            <w:text w:multiLine="1"/>
          </w:sdtPr>
          <w:sdtEndPr/>
          <w:sdtContent>
            <w:tc>
              <w:tcPr>
                <w:tcW w:w="5125" w:type="dxa"/>
                <w:tcBorders>
                  <w:top w:val="nil"/>
                  <w:left w:val="nil"/>
                  <w:bottom w:val="nil"/>
                  <w:right w:val="nil"/>
                </w:tcBorders>
              </w:tcPr>
              <w:p w14:paraId="14A76192" w14:textId="0D6E0140" w:rsidR="00BF5A2A" w:rsidRPr="00DD439D" w:rsidRDefault="00BB4436" w:rsidP="00BF5A2A">
                <w:pPr>
                  <w:rPr>
                    <w:rFonts w:cs="Arial"/>
                    <w:sz w:val="20"/>
                    <w:szCs w:val="20"/>
                  </w:rPr>
                </w:pPr>
                <w:r w:rsidRPr="00BB4436">
                  <w:rPr>
                    <w:rFonts w:cs="Arial"/>
                    <w:sz w:val="20"/>
                    <w:szCs w:val="20"/>
                  </w:rPr>
                  <w:t xml:space="preserve">Dr. Syed G. Naqvi                              </w:t>
                </w:r>
              </w:p>
            </w:tc>
          </w:sdtContent>
        </w:sdt>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07EB3629" w14:textId="77777777" w:rsidR="00BB4436" w:rsidRPr="00BB4436" w:rsidRDefault="00BB4436" w:rsidP="00BB4436">
                <w:pPr>
                  <w:rPr>
                    <w:rFonts w:cs="Arial"/>
                    <w:sz w:val="20"/>
                    <w:szCs w:val="20"/>
                  </w:rPr>
                </w:pPr>
                <w:r w:rsidRPr="00BB4436">
                  <w:rPr>
                    <w:rFonts w:cs="Arial"/>
                    <w:sz w:val="20"/>
                    <w:szCs w:val="20"/>
                  </w:rPr>
                  <w:t>Dr. Ibrahim Alomary</w:t>
                </w:r>
              </w:p>
              <w:p w14:paraId="658967E9" w14:textId="77777777" w:rsidR="00BB4436" w:rsidRPr="00BB4436" w:rsidRDefault="00BB4436" w:rsidP="00BB4436">
                <w:pPr>
                  <w:rPr>
                    <w:rFonts w:cs="Arial"/>
                    <w:sz w:val="20"/>
                    <w:szCs w:val="20"/>
                  </w:rPr>
                </w:pPr>
                <w:r w:rsidRPr="00BB4436">
                  <w:rPr>
                    <w:rFonts w:cs="Arial"/>
                    <w:sz w:val="20"/>
                    <w:szCs w:val="20"/>
                  </w:rPr>
                  <w:t>Dr. Ahmed Madkhali</w:t>
                </w:r>
              </w:p>
              <w:p w14:paraId="63643C23" w14:textId="77777777" w:rsidR="00BB4436" w:rsidRPr="00BB4436" w:rsidRDefault="00BB4436" w:rsidP="00BB4436">
                <w:pPr>
                  <w:rPr>
                    <w:rFonts w:cs="Arial"/>
                    <w:sz w:val="20"/>
                    <w:szCs w:val="20"/>
                  </w:rPr>
                </w:pPr>
                <w:r w:rsidRPr="00BB4436">
                  <w:rPr>
                    <w:rFonts w:cs="Arial"/>
                    <w:sz w:val="20"/>
                    <w:szCs w:val="20"/>
                  </w:rPr>
                  <w:t>Anaam Khatatbeh</w:t>
                </w:r>
              </w:p>
              <w:p w14:paraId="1763E7DA" w14:textId="77777777" w:rsidR="00BB4436" w:rsidRPr="00BB4436" w:rsidRDefault="00BB4436" w:rsidP="00BB4436">
                <w:pPr>
                  <w:rPr>
                    <w:rFonts w:cs="Arial"/>
                    <w:sz w:val="20"/>
                    <w:szCs w:val="20"/>
                  </w:rPr>
                </w:pPr>
                <w:r w:rsidRPr="00BB4436">
                  <w:rPr>
                    <w:rFonts w:cs="Arial"/>
                    <w:sz w:val="20"/>
                    <w:szCs w:val="20"/>
                  </w:rPr>
                  <w:t>Taghreed Jilan</w:t>
                </w:r>
              </w:p>
              <w:p w14:paraId="6EC26791" w14:textId="77777777" w:rsidR="00BB4436" w:rsidRPr="00BB4436" w:rsidRDefault="00BB4436" w:rsidP="00BB4436">
                <w:pPr>
                  <w:rPr>
                    <w:rFonts w:cs="Arial"/>
                    <w:sz w:val="20"/>
                    <w:szCs w:val="20"/>
                  </w:rPr>
                </w:pPr>
                <w:r w:rsidRPr="00BB4436">
                  <w:rPr>
                    <w:rFonts w:cs="Arial"/>
                    <w:sz w:val="20"/>
                    <w:szCs w:val="20"/>
                  </w:rPr>
                  <w:t>Khalaf Al-Zyod</w:t>
                </w:r>
              </w:p>
              <w:p w14:paraId="330C098E" w14:textId="77777777" w:rsidR="00BB4436" w:rsidRPr="00BB4436" w:rsidRDefault="00BB4436" w:rsidP="00BB4436">
                <w:pPr>
                  <w:rPr>
                    <w:rFonts w:cs="Arial"/>
                    <w:sz w:val="20"/>
                    <w:szCs w:val="20"/>
                  </w:rPr>
                </w:pPr>
                <w:r w:rsidRPr="00BB4436">
                  <w:rPr>
                    <w:rFonts w:cs="Arial"/>
                    <w:sz w:val="20"/>
                    <w:szCs w:val="20"/>
                  </w:rPr>
                  <w:t>Soud Sbehat</w:t>
                </w:r>
              </w:p>
              <w:p w14:paraId="6FD76B5E" w14:textId="77777777" w:rsidR="00BB4436" w:rsidRPr="00BB4436" w:rsidRDefault="00BB4436" w:rsidP="00BB4436">
                <w:pPr>
                  <w:rPr>
                    <w:rFonts w:cs="Arial"/>
                    <w:sz w:val="20"/>
                    <w:szCs w:val="20"/>
                  </w:rPr>
                </w:pPr>
                <w:r w:rsidRPr="00BB4436">
                  <w:rPr>
                    <w:rFonts w:cs="Arial"/>
                    <w:sz w:val="20"/>
                    <w:szCs w:val="20"/>
                  </w:rPr>
                  <w:t xml:space="preserve">Marwa Abid </w:t>
                </w:r>
              </w:p>
              <w:p w14:paraId="7456CF0A" w14:textId="363EECBC" w:rsidR="00BF5A2A" w:rsidRPr="00DD439D" w:rsidRDefault="00BB4436" w:rsidP="00BB4436">
                <w:pPr>
                  <w:rPr>
                    <w:rFonts w:cs="Arial"/>
                    <w:sz w:val="20"/>
                    <w:szCs w:val="20"/>
                  </w:rPr>
                </w:pPr>
                <w:r w:rsidRPr="00BB4436">
                  <w:rPr>
                    <w:rFonts w:cs="Arial"/>
                    <w:sz w:val="20"/>
                    <w:szCs w:val="20"/>
                  </w:rPr>
                  <w:t>Sarbonza Meera</w:t>
                </w:r>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83857" w14:textId="77777777" w:rsidR="00206817" w:rsidRDefault="00206817" w:rsidP="00DA3815">
      <w:pPr>
        <w:spacing w:line="240" w:lineRule="auto"/>
      </w:pPr>
      <w:r>
        <w:separator/>
      </w:r>
    </w:p>
  </w:endnote>
  <w:endnote w:type="continuationSeparator" w:id="0">
    <w:p w14:paraId="7E3749AB" w14:textId="77777777" w:rsidR="00206817" w:rsidRDefault="0020681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CC7B" w14:textId="77777777" w:rsidR="00206817" w:rsidRDefault="00206817" w:rsidP="00DA3815">
      <w:pPr>
        <w:spacing w:line="240" w:lineRule="auto"/>
      </w:pPr>
      <w:r>
        <w:separator/>
      </w:r>
    </w:p>
  </w:footnote>
  <w:footnote w:type="continuationSeparator" w:id="0">
    <w:p w14:paraId="01ECCD63" w14:textId="77777777" w:rsidR="00206817" w:rsidRDefault="00206817"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A587B"/>
    <w:rsid w:val="000D2385"/>
    <w:rsid w:val="000D5142"/>
    <w:rsid w:val="000D71CC"/>
    <w:rsid w:val="000E06C4"/>
    <w:rsid w:val="000F31F0"/>
    <w:rsid w:val="001244EA"/>
    <w:rsid w:val="00125AEE"/>
    <w:rsid w:val="001942D3"/>
    <w:rsid w:val="001C31B9"/>
    <w:rsid w:val="001D1B42"/>
    <w:rsid w:val="001E18CF"/>
    <w:rsid w:val="001E7C56"/>
    <w:rsid w:val="00206817"/>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00DC5"/>
    <w:rsid w:val="004104F7"/>
    <w:rsid w:val="004354BE"/>
    <w:rsid w:val="00440AFE"/>
    <w:rsid w:val="004714F0"/>
    <w:rsid w:val="004910B3"/>
    <w:rsid w:val="00493ED8"/>
    <w:rsid w:val="004D2577"/>
    <w:rsid w:val="00504D15"/>
    <w:rsid w:val="00505A8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B28D7"/>
    <w:rsid w:val="007D68EF"/>
    <w:rsid w:val="0080056A"/>
    <w:rsid w:val="00805E1B"/>
    <w:rsid w:val="00847F33"/>
    <w:rsid w:val="008B786E"/>
    <w:rsid w:val="008E6640"/>
    <w:rsid w:val="00923B4A"/>
    <w:rsid w:val="00944197"/>
    <w:rsid w:val="00951452"/>
    <w:rsid w:val="00964042"/>
    <w:rsid w:val="0097107A"/>
    <w:rsid w:val="00981B8B"/>
    <w:rsid w:val="0098748F"/>
    <w:rsid w:val="00990B2B"/>
    <w:rsid w:val="009A5985"/>
    <w:rsid w:val="009B1578"/>
    <w:rsid w:val="009B76B3"/>
    <w:rsid w:val="009C47EA"/>
    <w:rsid w:val="009C4B13"/>
    <w:rsid w:val="00A10EE1"/>
    <w:rsid w:val="00A11756"/>
    <w:rsid w:val="00A22B24"/>
    <w:rsid w:val="00A2683F"/>
    <w:rsid w:val="00A70EA8"/>
    <w:rsid w:val="00AE2E61"/>
    <w:rsid w:val="00AF2E89"/>
    <w:rsid w:val="00B236BD"/>
    <w:rsid w:val="00B57125"/>
    <w:rsid w:val="00B67535"/>
    <w:rsid w:val="00B749DB"/>
    <w:rsid w:val="00BB4436"/>
    <w:rsid w:val="00BD5296"/>
    <w:rsid w:val="00BE35DC"/>
    <w:rsid w:val="00BE6482"/>
    <w:rsid w:val="00BF3E2E"/>
    <w:rsid w:val="00BF5A2A"/>
    <w:rsid w:val="00C23C33"/>
    <w:rsid w:val="00C345DC"/>
    <w:rsid w:val="00C441A9"/>
    <w:rsid w:val="00C60581"/>
    <w:rsid w:val="00C7337A"/>
    <w:rsid w:val="00C84A93"/>
    <w:rsid w:val="00C90950"/>
    <w:rsid w:val="00C94ACA"/>
    <w:rsid w:val="00CB75A8"/>
    <w:rsid w:val="00CC0AD8"/>
    <w:rsid w:val="00CD0A93"/>
    <w:rsid w:val="00D1655C"/>
    <w:rsid w:val="00DA3815"/>
    <w:rsid w:val="00DD439D"/>
    <w:rsid w:val="00E23C1B"/>
    <w:rsid w:val="00E5392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7C21"/>
  <w15:docId w15:val="{4AC055DA-CC65-49D3-968E-646A8DDF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11351"/>
    <w:rsid w:val="0013145F"/>
    <w:rsid w:val="00331A51"/>
    <w:rsid w:val="004C412D"/>
    <w:rsid w:val="00633787"/>
    <w:rsid w:val="007E62B5"/>
    <w:rsid w:val="009C63E1"/>
    <w:rsid w:val="00B254DF"/>
    <w:rsid w:val="00BC5EC8"/>
    <w:rsid w:val="00C253A4"/>
    <w:rsid w:val="00CC3F6B"/>
    <w:rsid w:val="00DD2894"/>
    <w:rsid w:val="00E17380"/>
    <w:rsid w:val="00E338CB"/>
    <w:rsid w:val="00E556B1"/>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2210-A146-4AF6-8F2D-1D955E7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11</cp:revision>
  <cp:lastPrinted>2017-12-31T20:40:00Z</cp:lastPrinted>
  <dcterms:created xsi:type="dcterms:W3CDTF">2018-01-23T11:13:00Z</dcterms:created>
  <dcterms:modified xsi:type="dcterms:W3CDTF">2018-05-01T11:39:00Z</dcterms:modified>
</cp:coreProperties>
</file>