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B2FFBE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Style w:val="PlaceholderText"/>
              <w:color w:val="000000" w:themeColor="text1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  <w15:color w:val="FFFFFF"/>
            <w15:appearance w15:val="hidden"/>
          </w:sdtPr>
          <w:sdtEndPr>
            <w:rPr>
              <w:rStyle w:val="PlaceholderText"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484C7BFA" w:rsidR="00BD5296" w:rsidRPr="00321654" w:rsidRDefault="00147022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147022">
                  <w:rPr>
                    <w:rStyle w:val="PlaceholderText"/>
                    <w:color w:val="000000" w:themeColor="text1"/>
                  </w:rPr>
                  <w:t>Multimodal Preparation for Pediatric Premedication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CD0A93" w:rsidRDefault="00642462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CD0A93" w:rsidRDefault="00642462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showingPlcHdr/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3ED9A3F5" w:rsidR="00FC3EA3" w:rsidRPr="00321654" w:rsidRDefault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21654">
                  <w:rPr>
                    <w:rStyle w:val="PlaceholderText"/>
                    <w:rFonts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showingPlcHdr/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54EAB5BB" w:rsidR="00FC3EA3" w:rsidRPr="00321654" w:rsidRDefault="006C5CC5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21654">
                  <w:rPr>
                    <w:rStyle w:val="PlaceholderText"/>
                    <w:rFonts w:cs="Arial"/>
                    <w:color w:val="000000" w:themeColor="text1"/>
                    <w:sz w:val="20"/>
                  </w:rPr>
                  <w:t>Click or tap here to enter text.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CD0A93" w:rsidRDefault="00944197" w:rsidP="0094419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CD0A93" w:rsidRDefault="00944197" w:rsidP="0094419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CD0A93" w:rsidRDefault="00944197" w:rsidP="00944197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showingPlcHdr/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70DC7FBB" w:rsidR="00944197" w:rsidRPr="00321654" w:rsidRDefault="00944197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21654">
                  <w:rPr>
                    <w:rStyle w:val="PlaceholderText"/>
                    <w:rFonts w:cs="Arial"/>
                    <w:color w:val="000000" w:themeColor="text1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showingPlcHdr/>
            <w15:color w:val="FFFFFF"/>
            <w:date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7F89176F" w:rsidR="00944197" w:rsidRPr="00321654" w:rsidRDefault="00944197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21654">
                  <w:rPr>
                    <w:rStyle w:val="PlaceholderText"/>
                    <w:rFonts w:cs="Arial"/>
                    <w:color w:val="000000" w:themeColor="text1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showingPlcHdr/>
            <w15:color w:val="FFFFFF"/>
            <w:date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1DD69A7B" w:rsidR="00944197" w:rsidRPr="00321654" w:rsidRDefault="00944197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21654">
                  <w:rPr>
                    <w:rStyle w:val="PlaceholderText"/>
                    <w:rFonts w:cs="Arial"/>
                    <w:color w:val="000000" w:themeColor="text1"/>
                    <w:sz w:val="20"/>
                  </w:rPr>
                  <w:t>Click or tap to enter a date.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611B3C0A" w:rsidR="00000E88" w:rsidRDefault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37000B">
              <w:rPr>
                <w:rFonts w:cs="Arial"/>
                <w:b/>
                <w:color w:val="00A3E4" w:themeColor="accent2"/>
                <w:sz w:val="20"/>
                <w:szCs w:val="20"/>
              </w:rPr>
              <w:t>Problem: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6CDB3774" w14:textId="77777777" w:rsidR="0008190B" w:rsidRPr="0037000B" w:rsidRDefault="0008190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  <w15:appearance w15:val="hidden"/>
            </w:sdtPr>
            <w:sdtEndPr/>
            <w:sdtContent>
              <w:p w14:paraId="28DE78BC" w14:textId="71488005" w:rsidR="0008190B" w:rsidRPr="0008190B" w:rsidRDefault="0008190B" w:rsidP="002F4C8F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08190B">
                  <w:rPr>
                    <w:rFonts w:cs="Arial"/>
                    <w:color w:val="000000" w:themeColor="text1"/>
                    <w:sz w:val="20"/>
                    <w:szCs w:val="20"/>
                  </w:rPr>
                  <w:t>Minimizing Psychological</w:t>
                </w:r>
                <w:r w:rsidR="002F4C8F">
                  <w:rPr>
                    <w:rFonts w:cs="Arial"/>
                    <w:color w:val="000000" w:themeColor="text1"/>
                    <w:sz w:val="20"/>
                    <w:szCs w:val="20"/>
                  </w:rPr>
                  <w:t>,</w:t>
                </w:r>
                <w:r w:rsidRPr="0008190B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Trauma for children undergoing Anesthesia</w:t>
                </w:r>
                <w:r w:rsidR="002F4C8F">
                  <w:rPr>
                    <w:rFonts w:cs="Arial"/>
                    <w:color w:val="000000" w:themeColor="text1"/>
                    <w:sz w:val="20"/>
                    <w:szCs w:val="20"/>
                  </w:rPr>
                  <w:t>,</w:t>
                </w:r>
                <w:r w:rsidRPr="0008190B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2F4C8F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and </w:t>
                </w:r>
                <w:r w:rsidRPr="0008190B">
                  <w:rPr>
                    <w:rFonts w:cs="Arial"/>
                    <w:color w:val="000000" w:themeColor="text1"/>
                    <w:sz w:val="20"/>
                    <w:szCs w:val="20"/>
                  </w:rPr>
                  <w:t>Surgery</w:t>
                </w:r>
              </w:p>
              <w:p w14:paraId="79CA7DC4" w14:textId="05643289" w:rsidR="0008190B" w:rsidRPr="0008190B" w:rsidRDefault="0008190B" w:rsidP="0008190B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08190B">
                  <w:rPr>
                    <w:rFonts w:cs="Arial"/>
                    <w:color w:val="000000" w:themeColor="text1"/>
                    <w:sz w:val="20"/>
                    <w:szCs w:val="20"/>
                  </w:rPr>
                  <w:t>preparation before anesthesia is important</w:t>
                </w:r>
                <w:r w:rsidR="002F4C8F">
                  <w:rPr>
                    <w:rFonts w:cs="Arial"/>
                    <w:color w:val="000000" w:themeColor="text1"/>
                    <w:sz w:val="20"/>
                    <w:szCs w:val="20"/>
                  </w:rPr>
                  <w:t>.</w:t>
                </w:r>
              </w:p>
              <w:p w14:paraId="72D66B82" w14:textId="77777777" w:rsidR="002F4C8F" w:rsidRDefault="0008190B" w:rsidP="002F4C8F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08190B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Sedative premedication </w:t>
                </w:r>
                <w:r w:rsidR="002F4C8F">
                  <w:rPr>
                    <w:rFonts w:cs="Arial"/>
                    <w:color w:val="000000" w:themeColor="text1"/>
                    <w:sz w:val="20"/>
                    <w:szCs w:val="20"/>
                  </w:rPr>
                  <w:t>is</w:t>
                </w:r>
                <w:r w:rsidRPr="0008190B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essential for achieving a good preparation</w:t>
                </w:r>
                <w:r w:rsidR="002F4C8F">
                  <w:rPr>
                    <w:rFonts w:cs="Arial"/>
                    <w:color w:val="000000" w:themeColor="text1"/>
                    <w:sz w:val="20"/>
                    <w:szCs w:val="20"/>
                  </w:rPr>
                  <w:t>.</w:t>
                </w:r>
                <w:r w:rsidR="002F4C8F" w:rsidRPr="002F4C8F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2F4C8F">
                  <w:rPr>
                    <w:rFonts w:cs="Arial"/>
                    <w:color w:val="000000" w:themeColor="text1"/>
                    <w:sz w:val="20"/>
                    <w:szCs w:val="20"/>
                  </w:rPr>
                  <w:t>L</w:t>
                </w:r>
                <w:r w:rsidR="002F4C8F" w:rsidRPr="002F4C8F">
                  <w:rPr>
                    <w:rFonts w:cs="Arial"/>
                    <w:color w:val="000000" w:themeColor="text1"/>
                    <w:sz w:val="20"/>
                    <w:szCs w:val="20"/>
                  </w:rPr>
                  <w:t>ess than 1% of Paediatric patients at KFSHRC receive premedication, which is significantly lower than inte</w:t>
                </w:r>
                <w:r w:rsidR="002F4C8F">
                  <w:rPr>
                    <w:rFonts w:cs="Arial"/>
                    <w:color w:val="000000" w:themeColor="text1"/>
                    <w:sz w:val="20"/>
                    <w:szCs w:val="20"/>
                  </w:rPr>
                  <w:t>rnational benchmark data of 65%.</w:t>
                </w:r>
              </w:p>
              <w:p w14:paraId="091F7A5A" w14:textId="77777777" w:rsidR="005B0A09" w:rsidRDefault="002F4C8F" w:rsidP="005B0A09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2F4C8F">
                  <w:rPr>
                    <w:rFonts w:cs="Arial"/>
                    <w:color w:val="000000" w:themeColor="text1"/>
                    <w:sz w:val="20"/>
                    <w:szCs w:val="20"/>
                  </w:rPr>
                  <w:t>As we also do not offer parents to accompany their children inside OR</w:t>
                </w:r>
                <w:r w:rsidR="005B0A09">
                  <w:rPr>
                    <w:rFonts w:cs="Arial"/>
                    <w:color w:val="000000" w:themeColor="text1"/>
                    <w:sz w:val="20"/>
                    <w:szCs w:val="20"/>
                  </w:rPr>
                  <w:t>,</w:t>
                </w:r>
                <w:r w:rsidRPr="002F4C8F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the anxiety level among paediatric patients here is empirically perceived much more frequent and worse than i</w:t>
                </w:r>
                <w:r w:rsidR="005B0A09">
                  <w:rPr>
                    <w:rFonts w:cs="Arial"/>
                    <w:color w:val="000000" w:themeColor="text1"/>
                    <w:sz w:val="20"/>
                    <w:szCs w:val="20"/>
                  </w:rPr>
                  <w:t>n similar hospitals in the west.</w:t>
                </w:r>
              </w:p>
              <w:p w14:paraId="5AF63587" w14:textId="087199A1" w:rsidR="00000E88" w:rsidRPr="00B67535" w:rsidRDefault="005B0A09" w:rsidP="005B0A09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66D6E4E1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37000B">
              <w:rPr>
                <w:rFonts w:cs="Arial"/>
                <w:b/>
                <w:color w:val="00A3E4" w:themeColor="accent2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D17766F" w14:textId="77777777" w:rsidR="005B0A09" w:rsidRPr="004910B3" w:rsidRDefault="005B0A09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BE18B76" w14:textId="44AB3A17" w:rsidR="00000E88" w:rsidRDefault="005B0A09" w:rsidP="005B0A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 increase the Premedication preparation (%) of pediatric patients in preparation for surgery </w:t>
            </w:r>
            <w:r w:rsidR="001136EE">
              <w:rPr>
                <w:rFonts w:cs="Arial"/>
                <w:color w:val="000000" w:themeColor="text1"/>
                <w:sz w:val="20"/>
                <w:szCs w:val="20"/>
              </w:rPr>
              <w:t>at least 50% from the baseline before the end of 2017</w:t>
            </w:r>
          </w:p>
          <w:p w14:paraId="77E05B58" w14:textId="77777777" w:rsidR="001136EE" w:rsidRPr="005B0A09" w:rsidRDefault="001136EE" w:rsidP="005B0A09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37000B">
              <w:rPr>
                <w:rFonts w:cs="Arial"/>
                <w:b/>
                <w:color w:val="00A3E4" w:themeColor="accent2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77777777" w:rsidR="00000E88" w:rsidRPr="0037000B" w:rsidRDefault="0087459B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77777777" w:rsidR="00000E88" w:rsidRPr="0037000B" w:rsidRDefault="0087459B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682C0BD3" w:rsidR="00000E88" w:rsidRPr="0037000B" w:rsidRDefault="0087459B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A0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7777777" w:rsidR="00000E88" w:rsidRPr="0037000B" w:rsidRDefault="0087459B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25534324" w:rsidR="00000E88" w:rsidRPr="0037000B" w:rsidRDefault="0087459B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A0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87459B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placeholder>
                  <w:docPart w:val="3D060815E9804D59A7B46E19B5D81D3B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>
              <w:rPr>
                <w:rFonts w:cs="Arial"/>
                <w:b/>
                <w:color w:val="00A3E4" w:themeColor="accent2"/>
                <w:sz w:val="20"/>
              </w:rPr>
              <w:t>Quality Domain</w:t>
            </w:r>
            <w:r w:rsidRPr="0037000B">
              <w:rPr>
                <w:rFonts w:cs="Arial"/>
                <w:b/>
                <w:color w:val="00A3E4" w:themeColor="accent2"/>
                <w:sz w:val="20"/>
              </w:rPr>
              <w:t xml:space="preserve">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40B13649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697C662F" w14:textId="77777777" w:rsidR="005B0A09" w:rsidRDefault="005B0A09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Domains of Quality "/>
              <w:tag w:val="Domains of Quality"/>
              <w:id w:val="783846059"/>
              <w:placeholder>
                <w:docPart w:val="EC4E5335F0C54C3C82EF5AD506DDAB95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1D682DC9" w:rsidR="00000E88" w:rsidRPr="005B0A09" w:rsidRDefault="005B0A09" w:rsidP="00000E88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5B0A09">
                  <w:rPr>
                    <w:rFonts w:cs="Arial"/>
                    <w:color w:val="000000" w:themeColor="text1"/>
                    <w:sz w:val="20"/>
                    <w:szCs w:val="20"/>
                  </w:rPr>
                  <w:t>Patient Centred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1942D3">
                    <w:rPr>
                      <w:rFonts w:cs="Arial"/>
                      <w:b/>
                      <w:color w:val="00A3E4" w:themeColor="accent2"/>
                      <w:sz w:val="20"/>
                    </w:rPr>
                    <w:t>Measure</w:t>
                  </w:r>
                  <w:r>
                    <w:rPr>
                      <w:rFonts w:cs="Arial"/>
                      <w:b/>
                      <w:color w:val="00A3E4" w:themeColor="accent2"/>
                      <w:sz w:val="20"/>
                    </w:rPr>
                    <w:t xml:space="preserve">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1942D3">
                    <w:rPr>
                      <w:rFonts w:cs="Arial"/>
                      <w:b/>
                      <w:color w:val="00A3E4" w:themeColor="accent2"/>
                      <w:sz w:val="20"/>
                    </w:rPr>
                    <w:t>Target</w:t>
                  </w:r>
                  <w:r>
                    <w:rPr>
                      <w:rFonts w:cs="Arial"/>
                      <w:b/>
                      <w:color w:val="00A3E4" w:themeColor="accent2"/>
                      <w:sz w:val="20"/>
                    </w:rPr>
                    <w:t xml:space="preserve">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661CAD4A" w14:textId="5E9BA17C" w:rsidR="001942D3" w:rsidRPr="001136EE" w:rsidRDefault="001136EE" w:rsidP="001136EE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Premedication preparation (%)</w:t>
                  </w:r>
                </w:p>
              </w:tc>
              <w:tc>
                <w:tcPr>
                  <w:tcW w:w="5143" w:type="dxa"/>
                </w:tcPr>
                <w:p w14:paraId="7530E8F7" w14:textId="3909BF74" w:rsidR="001942D3" w:rsidRPr="001136EE" w:rsidRDefault="001136EE" w:rsidP="001136EE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At least 50% from the baseline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b/>
                <w:color w:val="00A3E4" w:themeColor="accent2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37B5E713" w14:textId="44FC297B" w:rsidR="00DD439D" w:rsidRPr="00A2607F" w:rsidRDefault="00A2607F" w:rsidP="00A2607F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A2607F">
              <w:rPr>
                <w:rFonts w:cs="Arial"/>
                <w:color w:val="000000" w:themeColor="text1"/>
                <w:sz w:val="20"/>
                <w:szCs w:val="20"/>
              </w:rPr>
              <w:t xml:space="preserve">Development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of</w:t>
            </w:r>
            <w:r>
              <w:t xml:space="preserve"> g</w:t>
            </w:r>
            <w:r w:rsidRPr="00A2607F">
              <w:rPr>
                <w:rFonts w:cs="Arial"/>
                <w:color w:val="000000" w:themeColor="text1"/>
                <w:sz w:val="20"/>
                <w:szCs w:val="20"/>
              </w:rPr>
              <w:t>uideline for paediatric pre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-</w:t>
            </w:r>
            <w:r w:rsidRPr="00A2607F">
              <w:rPr>
                <w:rFonts w:cs="Arial"/>
                <w:color w:val="000000" w:themeColor="text1"/>
                <w:sz w:val="20"/>
                <w:szCs w:val="20"/>
              </w:rPr>
              <w:t>medicati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on </w:t>
            </w:r>
            <w:r w:rsidRPr="00A2607F">
              <w:rPr>
                <w:rFonts w:cs="Arial"/>
                <w:color w:val="000000" w:themeColor="text1"/>
                <w:sz w:val="20"/>
                <w:szCs w:val="20"/>
              </w:rPr>
              <w:t>in Pre Anaesthesia Clinic (PAC) and day surgical clinic (DSU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).</w:t>
            </w:r>
          </w:p>
          <w:p w14:paraId="33B5D50D" w14:textId="77777777" w:rsidR="00A2607F" w:rsidRPr="00A2607F" w:rsidRDefault="00A2607F" w:rsidP="00A2607F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Development of s</w:t>
            </w:r>
            <w:r>
              <w:rPr>
                <w:color w:val="000000"/>
              </w:rPr>
              <w:t>tandardised information package for all paediatric patients and families</w:t>
            </w:r>
            <w:r>
              <w:rPr>
                <w:color w:val="000000"/>
              </w:rPr>
              <w:t>.</w:t>
            </w:r>
          </w:p>
          <w:p w14:paraId="3F258895" w14:textId="124487AB" w:rsidR="00A2607F" w:rsidRPr="00A2607F" w:rsidRDefault="00A2607F" w:rsidP="00A2607F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Provision of </w:t>
            </w:r>
            <w:r w:rsidR="000A5E0D">
              <w:rPr>
                <w:rFonts w:cs="Arial"/>
                <w:color w:val="000000" w:themeColor="text1"/>
                <w:sz w:val="20"/>
                <w:szCs w:val="20"/>
              </w:rPr>
              <w:t>In-</w:t>
            </w:r>
            <w:r w:rsidRPr="00A2607F">
              <w:rPr>
                <w:rFonts w:cs="Arial"/>
                <w:color w:val="000000" w:themeColor="text1"/>
                <w:sz w:val="20"/>
                <w:szCs w:val="20"/>
              </w:rPr>
              <w:t>service lectures to Medical and Nursing staff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2E08FD8B" w14:textId="77777777" w:rsidR="00A2607F" w:rsidRPr="00A2607F" w:rsidRDefault="00A2607F" w:rsidP="00A2607F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A2607F">
              <w:rPr>
                <w:rFonts w:cs="Arial"/>
                <w:color w:val="000000" w:themeColor="text1"/>
                <w:sz w:val="20"/>
                <w:szCs w:val="20"/>
              </w:rPr>
              <w:t>Decrease the numbers of obstacles like:</w:t>
            </w:r>
          </w:p>
          <w:p w14:paraId="29F37984" w14:textId="77777777" w:rsidR="00A2607F" w:rsidRPr="00A2607F" w:rsidRDefault="00A2607F" w:rsidP="00A2607F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A2607F">
              <w:rPr>
                <w:rFonts w:cs="Arial"/>
                <w:color w:val="000000" w:themeColor="text1"/>
                <w:sz w:val="20"/>
                <w:szCs w:val="20"/>
              </w:rPr>
              <w:t>·        No Pyxis machine available in DSU</w:t>
            </w:r>
          </w:p>
          <w:p w14:paraId="1A3CAE02" w14:textId="29DA721A" w:rsidR="00A2607F" w:rsidRPr="008F58D4" w:rsidRDefault="00A2607F" w:rsidP="00A2607F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A2607F">
              <w:rPr>
                <w:rFonts w:cs="Arial"/>
                <w:color w:val="000000" w:themeColor="text1"/>
                <w:sz w:val="20"/>
                <w:szCs w:val="20"/>
              </w:rPr>
              <w:t xml:space="preserve">·        Precedex </w:t>
            </w:r>
            <w:r w:rsidR="008F58D4">
              <w:rPr>
                <w:rFonts w:cs="Arial"/>
                <w:color w:val="000000" w:themeColor="text1"/>
                <w:sz w:val="20"/>
                <w:szCs w:val="20"/>
              </w:rPr>
              <w:t xml:space="preserve">medication </w:t>
            </w:r>
            <w:r w:rsidRPr="00A2607F">
              <w:rPr>
                <w:rFonts w:cs="Arial"/>
                <w:color w:val="000000" w:themeColor="text1"/>
                <w:sz w:val="20"/>
                <w:szCs w:val="20"/>
              </w:rPr>
              <w:t>to be made available in anaesthesia OMNICELL machine inside OR</w:t>
            </w:r>
          </w:p>
          <w:p w14:paraId="3C582696" w14:textId="682BED3B" w:rsidR="008F58D4" w:rsidRPr="008F58D4" w:rsidRDefault="008F58D4" w:rsidP="00A2607F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Development of flow chart and guidelines to support the new process</w:t>
            </w:r>
          </w:p>
          <w:p w14:paraId="61BF439E" w14:textId="73B96166" w:rsidR="008F58D4" w:rsidRPr="00DD439D" w:rsidRDefault="008F58D4" w:rsidP="008F58D4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</w:tc>
      </w:tr>
      <w:tr w:rsidR="00DD439D" w:rsidRPr="00CD0A93" w14:paraId="58934A13" w14:textId="77777777" w:rsidTr="001136EE">
        <w:trPr>
          <w:trHeight w:val="1894"/>
        </w:trPr>
        <w:tc>
          <w:tcPr>
            <w:tcW w:w="10512" w:type="dxa"/>
          </w:tcPr>
          <w:p w14:paraId="6E9C4679" w14:textId="0BB59E0C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b/>
                <w:color w:val="00A3E4" w:themeColor="accent2"/>
                <w:sz w:val="20"/>
              </w:rPr>
              <w:lastRenderedPageBreak/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19708418" w14:textId="77777777" w:rsidR="00DD439D" w:rsidRDefault="00DD439D" w:rsidP="001136EE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14A58E3" w14:textId="77777777" w:rsidR="001136EE" w:rsidRDefault="001136EE" w:rsidP="001136EE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6E128C0A" w14:textId="716FB31C" w:rsidR="001136EE" w:rsidRPr="001136EE" w:rsidRDefault="001136EE" w:rsidP="001136EE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373D1F" wp14:editId="4DFA155B">
                  <wp:extent cx="6391275" cy="3257550"/>
                  <wp:effectExtent l="0" t="0" r="9525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CD0A93" w:rsidRDefault="00362771" w:rsidP="009C259B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1D1B42" w:rsidRDefault="001D1B42" w:rsidP="009C259B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7FB729E3" w14:textId="77777777" w:rsidR="001D1B42" w:rsidRDefault="001D1B42" w:rsidP="001D1B42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0F0F055D" w14:textId="39795B7A" w:rsidR="00A2607F" w:rsidRPr="00CD0A93" w:rsidRDefault="00A2607F" w:rsidP="001D1B42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placeholder>
              <w:docPart w:val="D666CC246A4B43FEAA0D9D902A9E899D"/>
            </w:placeholder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11EAF818" w:rsidR="001D1B42" w:rsidRPr="00DD439D" w:rsidRDefault="001136EE" w:rsidP="001136E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Dr. Lars Engborg, Consultant, Anesthesiology Dpt</w:t>
                </w:r>
              </w:p>
            </w:tc>
          </w:sdtContent>
        </w:sdt>
        <w:sdt>
          <w:sdtPr>
            <w:alias w:val="Project Members"/>
            <w:tag w:val="Project Members"/>
            <w:id w:val="-869369525"/>
            <w:placeholder>
              <w:docPart w:val="20FB39B28CE9455699DA7AB3813534DB"/>
            </w:placeholder>
            <w15:color w:val="FFFFFF"/>
          </w:sdtPr>
          <w:sdtEndPr>
            <w:rPr>
              <w:rFonts w:cs="Arial"/>
              <w:sz w:val="20"/>
              <w:szCs w:val="20"/>
            </w:rPr>
          </w:sdtEndPr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1AA60B" w14:textId="293C15F7" w:rsidR="001136EE" w:rsidRPr="001136EE" w:rsidRDefault="001136EE" w:rsidP="001136EE">
                <w:pPr>
                  <w:pStyle w:val="ListParagraph"/>
                  <w:numPr>
                    <w:ilvl w:val="0"/>
                    <w:numId w:val="31"/>
                  </w:numPr>
                  <w:rPr>
                    <w:rFonts w:cs="Arial"/>
                    <w:sz w:val="20"/>
                    <w:szCs w:val="20"/>
                  </w:rPr>
                </w:pPr>
                <w:r w:rsidRPr="001136EE">
                  <w:rPr>
                    <w:rFonts w:cs="Arial"/>
                    <w:sz w:val="20"/>
                    <w:szCs w:val="20"/>
                  </w:rPr>
                  <w:t>Dr. Peter Kimme, Chairman Anesthesiology Dept</w:t>
                </w:r>
              </w:p>
              <w:p w14:paraId="0E4E36A2" w14:textId="6A156916" w:rsidR="001136EE" w:rsidRPr="001136EE" w:rsidRDefault="001136EE" w:rsidP="00A2607F">
                <w:pPr>
                  <w:pStyle w:val="ListParagraph"/>
                  <w:numPr>
                    <w:ilvl w:val="0"/>
                    <w:numId w:val="31"/>
                  </w:num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Dr</w:t>
                </w:r>
                <w:r w:rsidR="000A5E0D">
                  <w:rPr>
                    <w:rFonts w:cs="Arial"/>
                    <w:sz w:val="20"/>
                    <w:szCs w:val="20"/>
                  </w:rPr>
                  <w:t>.</w:t>
                </w: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  <w:r w:rsidR="00A2607F">
                  <w:rPr>
                    <w:rFonts w:cs="Arial"/>
                    <w:sz w:val="20"/>
                    <w:szCs w:val="20"/>
                  </w:rPr>
                  <w:t>Badar A</w:t>
                </w:r>
                <w:r w:rsidR="00A2607F">
                  <w:rPr>
                    <w:rFonts w:cs="Arial"/>
                    <w:sz w:val="20"/>
                    <w:szCs w:val="20"/>
                  </w:rPr>
                  <w:t>l</w:t>
                </w:r>
                <w:r w:rsidR="00A2607F">
                  <w:rPr>
                    <w:rFonts w:cs="Arial"/>
                    <w:sz w:val="20"/>
                    <w:szCs w:val="20"/>
                  </w:rPr>
                  <w:t>-Hasni</w:t>
                </w:r>
                <w:r w:rsidR="00A2607F"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</w:rPr>
                  <w:t xml:space="preserve">Fellow, </w:t>
                </w:r>
                <w:r w:rsidRPr="001136EE">
                  <w:rPr>
                    <w:rFonts w:cs="Arial"/>
                    <w:sz w:val="20"/>
                    <w:szCs w:val="20"/>
                  </w:rPr>
                  <w:t>Anesthesiology Dept</w:t>
                </w:r>
              </w:p>
              <w:p w14:paraId="11C793CF" w14:textId="77777777" w:rsidR="00A2607F" w:rsidRDefault="00A2607F" w:rsidP="00A2607F">
                <w:pPr>
                  <w:pStyle w:val="ListParagraph"/>
                  <w:numPr>
                    <w:ilvl w:val="0"/>
                    <w:numId w:val="31"/>
                  </w:num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Fadi Fares, </w:t>
                </w:r>
                <w:r w:rsidRPr="001136EE">
                  <w:rPr>
                    <w:rFonts w:cs="Arial"/>
                    <w:sz w:val="20"/>
                    <w:szCs w:val="20"/>
                  </w:rPr>
                  <w:t>Head Nurse DSU / PAC, Peri-operatinve Nursing</w:t>
                </w:r>
              </w:p>
              <w:p w14:paraId="68BEEE6F" w14:textId="6A1A33AA" w:rsidR="001136EE" w:rsidRDefault="001136EE" w:rsidP="001136EE">
                <w:pPr>
                  <w:pStyle w:val="ListParagraph"/>
                  <w:numPr>
                    <w:ilvl w:val="0"/>
                    <w:numId w:val="31"/>
                  </w:numPr>
                  <w:rPr>
                    <w:rFonts w:cs="Arial"/>
                    <w:sz w:val="20"/>
                    <w:szCs w:val="20"/>
                  </w:rPr>
                </w:pPr>
                <w:r w:rsidRPr="001136EE">
                  <w:rPr>
                    <w:rFonts w:cs="Arial"/>
                    <w:sz w:val="20"/>
                    <w:szCs w:val="20"/>
                  </w:rPr>
                  <w:t xml:space="preserve">Rami AlFaqi, </w:t>
                </w:r>
                <w:r>
                  <w:rPr>
                    <w:rFonts w:cs="Arial"/>
                    <w:sz w:val="20"/>
                    <w:szCs w:val="20"/>
                  </w:rPr>
                  <w:t>Clinical Assistant, Peri-operative Nursing</w:t>
                </w:r>
              </w:p>
              <w:p w14:paraId="13564A54" w14:textId="1B5A0AAC" w:rsidR="001136EE" w:rsidRDefault="00A2607F" w:rsidP="001136EE">
                <w:pPr>
                  <w:pStyle w:val="ListParagraph"/>
                  <w:numPr>
                    <w:ilvl w:val="0"/>
                    <w:numId w:val="31"/>
                  </w:num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Mohamad Danache </w:t>
                </w:r>
                <w:r>
                  <w:rPr>
                    <w:rFonts w:cs="Arial"/>
                    <w:sz w:val="20"/>
                    <w:szCs w:val="20"/>
                  </w:rPr>
                  <w:t>S</w:t>
                </w:r>
                <w:r w:rsidR="001136EE">
                  <w:rPr>
                    <w:rFonts w:cs="Arial"/>
                    <w:sz w:val="20"/>
                    <w:szCs w:val="20"/>
                  </w:rPr>
                  <w:t xml:space="preserve">N DSU, </w:t>
                </w:r>
                <w:r w:rsidR="001136EE">
                  <w:rPr>
                    <w:rFonts w:cs="Arial"/>
                    <w:sz w:val="20"/>
                    <w:szCs w:val="20"/>
                  </w:rPr>
                  <w:t>Peri-operative Nursing</w:t>
                </w:r>
              </w:p>
              <w:p w14:paraId="28699921" w14:textId="27E2B6DB" w:rsidR="00A2607F" w:rsidRPr="00A2607F" w:rsidRDefault="00A2607F" w:rsidP="00A2607F">
                <w:pPr>
                  <w:pStyle w:val="ListParagraph"/>
                  <w:numPr>
                    <w:ilvl w:val="0"/>
                    <w:numId w:val="31"/>
                  </w:numPr>
                  <w:rPr>
                    <w:rFonts w:cs="Arial"/>
                    <w:sz w:val="20"/>
                    <w:szCs w:val="20"/>
                  </w:rPr>
                </w:pPr>
                <w:r w:rsidRPr="00A2607F">
                  <w:rPr>
                    <w:rFonts w:cs="Arial"/>
                    <w:sz w:val="20"/>
                    <w:szCs w:val="20"/>
                  </w:rPr>
                  <w:t>Basma Harayin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>
                  <w:rPr>
                    <w:rFonts w:cs="Arial"/>
                    <w:sz w:val="20"/>
                    <w:szCs w:val="20"/>
                  </w:rPr>
                  <w:t>SN DSU, Peri-operative Nursing</w:t>
                </w:r>
              </w:p>
              <w:p w14:paraId="366691A6" w14:textId="38FC1333" w:rsidR="001136EE" w:rsidRPr="00A2607F" w:rsidRDefault="00A2607F" w:rsidP="00A2607F">
                <w:pPr>
                  <w:pStyle w:val="ListParagraph"/>
                  <w:numPr>
                    <w:ilvl w:val="0"/>
                    <w:numId w:val="31"/>
                  </w:numPr>
                  <w:rPr>
                    <w:rFonts w:cs="Arial"/>
                    <w:sz w:val="20"/>
                    <w:szCs w:val="20"/>
                  </w:rPr>
                </w:pPr>
                <w:r w:rsidRPr="00A2607F">
                  <w:rPr>
                    <w:rFonts w:cs="Arial"/>
                    <w:sz w:val="20"/>
                    <w:szCs w:val="20"/>
                  </w:rPr>
                  <w:t>Marisabel Pawley</w:t>
                </w:r>
                <w:r>
                  <w:rPr>
                    <w:rFonts w:cs="Arial"/>
                    <w:sz w:val="20"/>
                    <w:szCs w:val="20"/>
                  </w:rPr>
                  <w:t>, S</w:t>
                </w:r>
                <w:r>
                  <w:rPr>
                    <w:rFonts w:cs="Arial"/>
                    <w:sz w:val="20"/>
                    <w:szCs w:val="20"/>
                  </w:rPr>
                  <w:t>N DSU, Peri-operative Nursing</w:t>
                </w:r>
              </w:p>
              <w:p w14:paraId="1D4474C3" w14:textId="77777777" w:rsidR="001136EE" w:rsidRDefault="001136EE" w:rsidP="001136EE">
                <w:pPr>
                  <w:rPr>
                    <w:rFonts w:cs="Arial"/>
                    <w:sz w:val="20"/>
                    <w:szCs w:val="20"/>
                  </w:rPr>
                </w:pPr>
              </w:p>
              <w:p w14:paraId="7247430F" w14:textId="77777777" w:rsidR="001136EE" w:rsidRDefault="001136EE" w:rsidP="001136EE">
                <w:pPr>
                  <w:rPr>
                    <w:rFonts w:cs="Arial"/>
                    <w:sz w:val="20"/>
                    <w:szCs w:val="20"/>
                  </w:rPr>
                </w:pPr>
              </w:p>
              <w:p w14:paraId="53684B26" w14:textId="33CDA078" w:rsidR="001D1B42" w:rsidRPr="00DD439D" w:rsidRDefault="001D1B42" w:rsidP="001136EE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00B81" w14:textId="77777777" w:rsidR="0087459B" w:rsidRDefault="0087459B" w:rsidP="00DA3815">
      <w:pPr>
        <w:spacing w:line="240" w:lineRule="auto"/>
      </w:pPr>
      <w:r>
        <w:separator/>
      </w:r>
    </w:p>
  </w:endnote>
  <w:endnote w:type="continuationSeparator" w:id="0">
    <w:p w14:paraId="084BD739" w14:textId="77777777" w:rsidR="0087459B" w:rsidRDefault="0087459B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A77EE" w14:textId="77777777" w:rsidR="0087459B" w:rsidRDefault="0087459B" w:rsidP="00DA3815">
      <w:pPr>
        <w:spacing w:line="240" w:lineRule="auto"/>
      </w:pPr>
      <w:r>
        <w:separator/>
      </w:r>
    </w:p>
  </w:footnote>
  <w:footnote w:type="continuationSeparator" w:id="0">
    <w:p w14:paraId="638F9CB5" w14:textId="77777777" w:rsidR="0087459B" w:rsidRDefault="0087459B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E0"/>
    <w:multiLevelType w:val="hybridMultilevel"/>
    <w:tmpl w:val="E34C8A3A"/>
    <w:lvl w:ilvl="0" w:tplc="F2BA5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73945180"/>
    <w:lvl w:ilvl="0" w:tplc="0094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4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45211"/>
    <w:multiLevelType w:val="hybridMultilevel"/>
    <w:tmpl w:val="360A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28"/>
  </w:num>
  <w:num w:numId="5">
    <w:abstractNumId w:val="21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25"/>
  </w:num>
  <w:num w:numId="12">
    <w:abstractNumId w:val="24"/>
  </w:num>
  <w:num w:numId="13">
    <w:abstractNumId w:val="4"/>
  </w:num>
  <w:num w:numId="14">
    <w:abstractNumId w:val="18"/>
  </w:num>
  <w:num w:numId="15">
    <w:abstractNumId w:val="19"/>
  </w:num>
  <w:num w:numId="16">
    <w:abstractNumId w:val="29"/>
  </w:num>
  <w:num w:numId="17">
    <w:abstractNumId w:val="20"/>
  </w:num>
  <w:num w:numId="18">
    <w:abstractNumId w:val="2"/>
  </w:num>
  <w:num w:numId="19">
    <w:abstractNumId w:val="17"/>
  </w:num>
  <w:num w:numId="20">
    <w:abstractNumId w:val="9"/>
  </w:num>
  <w:num w:numId="21">
    <w:abstractNumId w:val="23"/>
  </w:num>
  <w:num w:numId="22">
    <w:abstractNumId w:val="16"/>
  </w:num>
  <w:num w:numId="23">
    <w:abstractNumId w:val="11"/>
  </w:num>
  <w:num w:numId="24">
    <w:abstractNumId w:val="12"/>
  </w:num>
  <w:num w:numId="25">
    <w:abstractNumId w:val="30"/>
  </w:num>
  <w:num w:numId="26">
    <w:abstractNumId w:val="26"/>
  </w:num>
  <w:num w:numId="27">
    <w:abstractNumId w:val="10"/>
  </w:num>
  <w:num w:numId="28">
    <w:abstractNumId w:val="27"/>
  </w:num>
  <w:num w:numId="29">
    <w:abstractNumId w:val="22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190B"/>
    <w:rsid w:val="0008253B"/>
    <w:rsid w:val="00097EAF"/>
    <w:rsid w:val="000A5E0D"/>
    <w:rsid w:val="000D71CC"/>
    <w:rsid w:val="000E06C4"/>
    <w:rsid w:val="000F31F0"/>
    <w:rsid w:val="001136EE"/>
    <w:rsid w:val="001244EA"/>
    <w:rsid w:val="00125AEE"/>
    <w:rsid w:val="00147022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2F4C8F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65D49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B0A09"/>
    <w:rsid w:val="005F78B0"/>
    <w:rsid w:val="00616BAB"/>
    <w:rsid w:val="00642462"/>
    <w:rsid w:val="0065184C"/>
    <w:rsid w:val="006C3F74"/>
    <w:rsid w:val="006C5CC5"/>
    <w:rsid w:val="006D63B1"/>
    <w:rsid w:val="0076391E"/>
    <w:rsid w:val="007D68EF"/>
    <w:rsid w:val="0080056A"/>
    <w:rsid w:val="00847F33"/>
    <w:rsid w:val="0087459B"/>
    <w:rsid w:val="008B786E"/>
    <w:rsid w:val="008E6640"/>
    <w:rsid w:val="008F58D4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07F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76F33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f40658\Desktop\Book1%20(Autosaved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Comparison of Premedication (%) Before and After the Intervention within two age groups (Pre-school &amp; School Age group)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6312316400092325E-2"/>
          <c:y val="0.27861111111111109"/>
          <c:w val="0.91772643173701651"/>
          <c:h val="0.5358639545056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Sheet1!$E$233</c:f>
              <c:strCache>
                <c:ptCount val="1"/>
                <c:pt idx="0">
                  <c:v>Before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987083954297069E-3"/>
                  <c:y val="9.356725146198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AEC-4010-8FF4-3913607C164D}"/>
                </c:ext>
              </c:extLst>
            </c:dLbl>
            <c:dLbl>
              <c:idx val="1"/>
              <c:layout>
                <c:manualLayout>
                  <c:x val="0"/>
                  <c:y val="5.4580896686159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EC-4010-8FF4-3913607C16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Sheet1!$D$234:$D$235</c:f>
              <c:strCache>
                <c:ptCount val="2"/>
                <c:pt idx="0">
                  <c:v>Preschool Age Group</c:v>
                </c:pt>
                <c:pt idx="1">
                  <c:v>School Age Group</c:v>
                </c:pt>
              </c:strCache>
            </c:strRef>
          </c:cat>
          <c:val>
            <c:numRef>
              <c:f>Sheet1!$E$234:$E$235</c:f>
              <c:numCache>
                <c:formatCode>0%</c:formatCode>
                <c:ptCount val="2"/>
                <c:pt idx="0">
                  <c:v>0.13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EC-4010-8FF4-3913607C164D}"/>
            </c:ext>
          </c:extLst>
        </c:ser>
        <c:ser>
          <c:idx val="1"/>
          <c:order val="1"/>
          <c:tx>
            <c:strRef>
              <c:f>Sheet1!$F$233</c:f>
              <c:strCache>
                <c:ptCount val="1"/>
                <c:pt idx="0">
                  <c:v>After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16959064327485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EC-4010-8FF4-3913607C164D}"/>
                </c:ext>
              </c:extLst>
            </c:dLbl>
            <c:dLbl>
              <c:idx val="1"/>
              <c:layout>
                <c:manualLayout>
                  <c:x val="-3.9741679085941381E-3"/>
                  <c:y val="0.105263157894736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AEC-4010-8FF4-3913607C16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Sheet1!$D$234:$D$235</c:f>
              <c:strCache>
                <c:ptCount val="2"/>
                <c:pt idx="0">
                  <c:v>Preschool Age Group</c:v>
                </c:pt>
                <c:pt idx="1">
                  <c:v>School Age Group</c:v>
                </c:pt>
              </c:strCache>
            </c:strRef>
          </c:cat>
          <c:val>
            <c:numRef>
              <c:f>Sheet1!$F$234:$F$235</c:f>
              <c:numCache>
                <c:formatCode>0%</c:formatCode>
                <c:ptCount val="2"/>
                <c:pt idx="0">
                  <c:v>0.69</c:v>
                </c:pt>
                <c:pt idx="1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EC-4010-8FF4-3913607C16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834512"/>
        <c:axId val="235833264"/>
      </c:barChart>
      <c:catAx>
        <c:axId val="23583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833264"/>
        <c:crosses val="autoZero"/>
        <c:auto val="1"/>
        <c:lblAlgn val="ctr"/>
        <c:lblOffset val="100"/>
        <c:noMultiLvlLbl val="0"/>
      </c:catAx>
      <c:valAx>
        <c:axId val="23583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83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257519039628242"/>
          <c:y val="0.89409667541557303"/>
          <c:w val="0.81489327246910825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0.20657</cdr:x>
      <cdr:y>0.3312</cdr:y>
    </cdr:from>
    <cdr:to>
      <cdr:x>0.76304</cdr:x>
      <cdr:y>0.76316</cdr:y>
    </cdr:to>
    <cdr:grpSp>
      <cdr:nvGrpSpPr>
        <cdr:cNvPr id="13" name="Group 12"/>
        <cdr:cNvGrpSpPr/>
      </cdr:nvGrpSpPr>
      <cdr:grpSpPr>
        <a:xfrm xmlns:a="http://schemas.openxmlformats.org/drawingml/2006/main">
          <a:off x="1320262" y="1078886"/>
          <a:ext cx="3556552" cy="1407132"/>
          <a:chOff x="1244073" y="796249"/>
          <a:chExt cx="3556528" cy="1184951"/>
        </a:xfrm>
      </cdr:grpSpPr>
      <cdr:cxnSp macro="">
        <cdr:nvCxnSpPr>
          <cdr:cNvPr id="3" name="Straight Arrow Connector 2"/>
          <cdr:cNvCxnSpPr/>
        </cdr:nvCxnSpPr>
        <cdr:spPr>
          <a:xfrm xmlns:a="http://schemas.openxmlformats.org/drawingml/2006/main" flipV="1">
            <a:off x="1562101" y="971550"/>
            <a:ext cx="371475" cy="723900"/>
          </a:xfrm>
          <a:prstGeom xmlns:a="http://schemas.openxmlformats.org/drawingml/2006/main" prst="straightConnector1">
            <a:avLst/>
          </a:prstGeom>
          <a:ln xmlns:a="http://schemas.openxmlformats.org/drawingml/2006/main">
            <a:tailEnd type="triangle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7" name="Straight Arrow Connector 6"/>
          <cdr:cNvCxnSpPr/>
        </cdr:nvCxnSpPr>
        <cdr:spPr>
          <a:xfrm xmlns:a="http://schemas.openxmlformats.org/drawingml/2006/main" flipV="1">
            <a:off x="4552951" y="1685926"/>
            <a:ext cx="247650" cy="295274"/>
          </a:xfrm>
          <a:prstGeom xmlns:a="http://schemas.openxmlformats.org/drawingml/2006/main" prst="straightConnector1">
            <a:avLst/>
          </a:prstGeom>
          <a:ln xmlns:a="http://schemas.openxmlformats.org/drawingml/2006/main">
            <a:tailEnd type="triangle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sp macro="" textlink="">
        <cdr:nvSpPr>
          <cdr:cNvPr id="11" name="TextBox 10"/>
          <cdr:cNvSpPr txBox="1"/>
        </cdr:nvSpPr>
        <cdr:spPr>
          <a:xfrm xmlns:a="http://schemas.openxmlformats.org/drawingml/2006/main" rot="17840224">
            <a:off x="1003453" y="1036869"/>
            <a:ext cx="1001587" cy="520348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vertOverflow="clip" wrap="square" rtlCol="0"/>
          <a:lstStyle xmlns:a="http://schemas.openxmlformats.org/drawingml/2006/main"/>
          <a:p xmlns:a="http://schemas.openxmlformats.org/drawingml/2006/main">
            <a:r>
              <a:rPr lang="en-US" sz="800" b="1"/>
              <a:t>81% increase and beating the bechmark</a:t>
            </a:r>
            <a:r>
              <a:rPr lang="en-US" sz="800" b="1" baseline="0"/>
              <a:t> of 65%</a:t>
            </a:r>
            <a:endParaRPr lang="en-US" sz="800" b="1"/>
          </a:p>
        </cdr:txBody>
      </cdr:sp>
      <cdr:sp macro="" textlink="">
        <cdr:nvSpPr>
          <cdr:cNvPr id="12" name="TextBox 1"/>
          <cdr:cNvSpPr txBox="1"/>
        </cdr:nvSpPr>
        <cdr:spPr>
          <a:xfrm xmlns:a="http://schemas.openxmlformats.org/drawingml/2006/main" rot="18513421">
            <a:off x="4299869" y="1527806"/>
            <a:ext cx="563454" cy="299176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en-US" sz="800" b="1"/>
              <a:t>84% increase </a:t>
            </a:r>
          </a:p>
        </cdr:txBody>
      </cdr:sp>
    </cdr:grp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66CC246A4B43FEAA0D9D902A9E8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1FC6-49EC-45D0-9303-C95E7E2DCB06}"/>
      </w:docPartPr>
      <w:docPartBody>
        <w:p w:rsidR="00C253A4" w:rsidRDefault="00E17380" w:rsidP="00E17380">
          <w:pPr>
            <w:pStyle w:val="D666CC246A4B43FEAA0D9D902A9E899D18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FB39B28CE9455699DA7AB38135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4B8C-0755-4C43-8C66-EB5798B10AF6}"/>
      </w:docPartPr>
      <w:docPartBody>
        <w:p w:rsidR="00C253A4" w:rsidRDefault="00E17380" w:rsidP="00E17380">
          <w:pPr>
            <w:pStyle w:val="20FB39B28CE9455699DA7AB3813534DB1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4E5335F0C54C3C82EF5AD506DD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0B86-5E38-4DF4-9A90-4C62C7D838F2}"/>
      </w:docPartPr>
      <w:docPartBody>
        <w:p w:rsidR="007E62B5" w:rsidRDefault="00E17380" w:rsidP="00E17380">
          <w:pPr>
            <w:pStyle w:val="EC4E5335F0C54C3C82EF5AD506DDAB953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3D060815E9804D59A7B46E19B5D8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47D5-D01B-4527-9F2A-2EF5F41A4EDD}"/>
      </w:docPartPr>
      <w:docPartBody>
        <w:p w:rsidR="007E62B5" w:rsidRDefault="00E17380" w:rsidP="00E17380">
          <w:pPr>
            <w:pStyle w:val="3D060815E9804D59A7B46E19B5D81D3B3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4C412D"/>
    <w:rsid w:val="007E62B5"/>
    <w:rsid w:val="008B05C7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CAFE-1F3D-493E-BEA7-0225374F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4</cp:revision>
  <cp:lastPrinted>2017-12-31T20:40:00Z</cp:lastPrinted>
  <dcterms:created xsi:type="dcterms:W3CDTF">2018-03-25T12:19:00Z</dcterms:created>
  <dcterms:modified xsi:type="dcterms:W3CDTF">2018-03-25T13:36:00Z</dcterms:modified>
</cp:coreProperties>
</file>