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784ADD1E" w:rsidR="00C476C9" w:rsidRPr="00714581" w:rsidRDefault="00520A7E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520A7E">
              <w:rPr>
                <w:rFonts w:cs="Arial"/>
                <w:bCs/>
                <w:sz w:val="20"/>
                <w:szCs w:val="20"/>
              </w:rPr>
              <w:t>Decrease interruption in Clinic Flow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74D9409" w:rsidR="00B749DB" w:rsidRPr="00321654" w:rsidRDefault="003F69BA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F69BA">
                  <w:rPr>
                    <w:rFonts w:cs="Arial"/>
                    <w:sz w:val="20"/>
                    <w:szCs w:val="20"/>
                    <w:lang w:val="en-US"/>
                  </w:rPr>
                  <w:t xml:space="preserve">Pediatric Clinic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39B3B99" w:rsidR="00B749DB" w:rsidRPr="00321654" w:rsidRDefault="003F69BA" w:rsidP="003F69BA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7F056FCD" w:rsidR="00B749DB" w:rsidRPr="00321654" w:rsidRDefault="003F69B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5342B361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0E86821" w14:textId="77777777" w:rsidR="008F71C8" w:rsidRPr="0037000B" w:rsidRDefault="008F71C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0E570B9" w14:textId="04224A45" w:rsidR="005B23D1" w:rsidRPr="00BB6643" w:rsidRDefault="00CB0057" w:rsidP="00B36125">
            <w:pPr>
              <w:rPr>
                <w:rFonts w:cs="Arial"/>
                <w:sz w:val="20"/>
                <w:szCs w:val="20"/>
                <w:lang w:val="en-US"/>
              </w:rPr>
            </w:pPr>
            <w:r w:rsidRPr="00BB6643">
              <w:rPr>
                <w:rFonts w:cs="Arial"/>
                <w:sz w:val="20"/>
                <w:szCs w:val="20"/>
                <w:lang w:val="en-US"/>
              </w:rPr>
              <w:t>In the past, p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atient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used 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to wait for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 xml:space="preserve">his 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>appointment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 slip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>, medication</w:t>
            </w:r>
            <w:r w:rsidR="00BB6643">
              <w:rPr>
                <w:rFonts w:cs="Arial"/>
                <w:sz w:val="20"/>
                <w:szCs w:val="20"/>
                <w:lang w:val="en-US"/>
              </w:rPr>
              <w:t xml:space="preserve"> and 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lab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request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 xml:space="preserve">form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to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 xml:space="preserve">pick up on same day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after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 xml:space="preserve">being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seen by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the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 doctor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. Nowadays, patient was not given any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>slip, instead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he is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instructed to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provide his Medical Record Number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(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>MRN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)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or hospital issued ID card to fix all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>appointments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="00E37152">
              <w:rPr>
                <w:rFonts w:cs="Arial"/>
                <w:sz w:val="20"/>
                <w:szCs w:val="20"/>
                <w:lang w:val="en-US"/>
              </w:rPr>
              <w:t>So, the n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urse can put everything in the system while patient is on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his</w:t>
            </w:r>
            <w:bookmarkStart w:id="0" w:name="_GoBack"/>
            <w:bookmarkEnd w:id="0"/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>queue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or on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his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way to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>appointment,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pharmacy or store.</w:t>
            </w:r>
          </w:p>
          <w:p w14:paraId="4249CC43" w14:textId="388FE8F0" w:rsidR="005B23D1" w:rsidRPr="00BB6643" w:rsidRDefault="00CB0057" w:rsidP="008F71C8">
            <w:pPr>
              <w:rPr>
                <w:rFonts w:cs="Arial"/>
                <w:sz w:val="20"/>
                <w:szCs w:val="20"/>
                <w:lang w:val="en-US"/>
              </w:rPr>
            </w:pPr>
            <w:r w:rsidRPr="00BB6643">
              <w:rPr>
                <w:rFonts w:cs="Arial"/>
                <w:sz w:val="20"/>
                <w:szCs w:val="20"/>
                <w:lang w:val="en-US"/>
              </w:rPr>
              <w:t>Moreover, p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atient has to wait for another doctor's clinic before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>issuing a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medication 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refill,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>modifying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his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appointment or lab works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>; 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this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process 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will take days and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will 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cost 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the patient 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additional</w:t>
            </w:r>
            <w:r w:rsidRPr="00BB6643">
              <w:rPr>
                <w:rFonts w:cs="Arial"/>
                <w:sz w:val="20"/>
                <w:szCs w:val="20"/>
                <w:lang w:val="en-US"/>
              </w:rPr>
              <w:t xml:space="preserve"> visit to th</w:t>
            </w:r>
            <w:r w:rsidR="00022AF7" w:rsidRPr="00BB6643">
              <w:rPr>
                <w:rFonts w:cs="Arial"/>
                <w:sz w:val="20"/>
                <w:szCs w:val="20"/>
                <w:lang w:val="en-US"/>
              </w:rPr>
              <w:t>e hospital.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22AF7" w:rsidRPr="00BB6643">
              <w:rPr>
                <w:rFonts w:cs="Arial"/>
                <w:sz w:val="20"/>
                <w:szCs w:val="20"/>
                <w:lang w:val="en-US"/>
              </w:rPr>
              <w:t>To overcome this situation, Nurses 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>develop</w:t>
            </w:r>
            <w:r w:rsidR="00022AF7" w:rsidRPr="00BB6643">
              <w:rPr>
                <w:rFonts w:cs="Arial"/>
                <w:sz w:val="20"/>
                <w:szCs w:val="20"/>
                <w:lang w:val="en-US"/>
              </w:rPr>
              <w:t>ed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a Nurse Walk-In Clinic to cater all these need</w:t>
            </w:r>
            <w:r w:rsidR="008F71C8">
              <w:rPr>
                <w:rFonts w:cs="Arial"/>
                <w:sz w:val="20"/>
                <w:szCs w:val="20"/>
                <w:lang w:val="en-US"/>
              </w:rPr>
              <w:t>s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without waiting for </w:t>
            </w:r>
            <w:r w:rsidR="00022AF7" w:rsidRPr="00BB6643">
              <w:rPr>
                <w:rFonts w:cs="Arial"/>
                <w:sz w:val="20"/>
                <w:szCs w:val="20"/>
                <w:lang w:val="en-US"/>
              </w:rPr>
              <w:t>the clinic day of the physician.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22AF7" w:rsidRPr="00BB6643">
              <w:rPr>
                <w:rFonts w:cs="Arial"/>
                <w:sz w:val="20"/>
                <w:szCs w:val="20"/>
                <w:lang w:val="en-US"/>
              </w:rPr>
              <w:t>This project was selected to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 xml:space="preserve"> minimize interruption in the clinic flow</w:t>
            </w:r>
            <w:r w:rsidR="00BB6643" w:rsidRPr="00BB6643">
              <w:rPr>
                <w:rFonts w:cs="Arial"/>
                <w:sz w:val="20"/>
                <w:szCs w:val="20"/>
                <w:lang w:val="en-US"/>
              </w:rPr>
              <w:t xml:space="preserve"> and to increase patient satisfaction</w:t>
            </w:r>
            <w:r w:rsidR="005B23D1" w:rsidRPr="00BB6643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550391E2" w14:textId="18A26517" w:rsidR="00B749DB" w:rsidRPr="007C5B94" w:rsidRDefault="00B749DB" w:rsidP="00BB66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2EEF964D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865D96C" w14:textId="77777777" w:rsidR="008F71C8" w:rsidRPr="004910B3" w:rsidRDefault="008F71C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4A08621" w14:textId="5CF413F8" w:rsidR="00C476C9" w:rsidRPr="00301903" w:rsidRDefault="00301903" w:rsidP="00AD7CBA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301903">
              <w:rPr>
                <w:rFonts w:cs="Arial"/>
                <w:sz w:val="20"/>
                <w:szCs w:val="20"/>
                <w:lang w:val="en-US"/>
              </w:rPr>
              <w:t xml:space="preserve">To </w:t>
            </w:r>
            <w:r w:rsidR="003F69BA" w:rsidRPr="003F69BA">
              <w:rPr>
                <w:rFonts w:cs="Arial"/>
                <w:sz w:val="20"/>
                <w:szCs w:val="20"/>
                <w:lang w:val="en-US"/>
              </w:rPr>
              <w:t>Maintain</w:t>
            </w:r>
            <w:r w:rsidR="003F69BA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 w:rsidR="003F69BA" w:rsidRPr="003F69BA">
              <w:rPr>
                <w:rFonts w:cs="Arial"/>
                <w:sz w:val="20"/>
                <w:szCs w:val="20"/>
                <w:lang w:val="en-US"/>
              </w:rPr>
              <w:t xml:space="preserve">atient </w:t>
            </w:r>
            <w:r w:rsidR="003F69BA">
              <w:rPr>
                <w:rFonts w:cs="Arial"/>
                <w:sz w:val="20"/>
                <w:szCs w:val="20"/>
                <w:lang w:val="en-US"/>
              </w:rPr>
              <w:t>s</w:t>
            </w:r>
            <w:r w:rsidR="003F69BA" w:rsidRPr="003F69BA">
              <w:rPr>
                <w:rFonts w:cs="Arial"/>
                <w:sz w:val="20"/>
                <w:szCs w:val="20"/>
                <w:lang w:val="en-US"/>
              </w:rPr>
              <w:t xml:space="preserve">atisfaction </w:t>
            </w:r>
            <w:r w:rsidR="00AD7CBA">
              <w:rPr>
                <w:rFonts w:cs="Arial"/>
                <w:sz w:val="20"/>
                <w:szCs w:val="20"/>
                <w:lang w:val="en-US"/>
              </w:rPr>
              <w:t>≥</w:t>
            </w:r>
            <w:r w:rsidR="003F69BA" w:rsidRPr="003F69BA">
              <w:rPr>
                <w:rFonts w:cs="Arial"/>
                <w:sz w:val="20"/>
                <w:szCs w:val="20"/>
                <w:lang w:val="en-US"/>
              </w:rPr>
              <w:t xml:space="preserve"> 97%</w:t>
            </w:r>
            <w:r w:rsidR="003F69BA">
              <w:rPr>
                <w:rFonts w:cs="Arial"/>
                <w:sz w:val="20"/>
                <w:szCs w:val="20"/>
                <w:lang w:val="en-US"/>
              </w:rPr>
              <w:t>,</w:t>
            </w:r>
            <w:r w:rsidR="003F69BA" w:rsidRPr="003F69BA">
              <w:rPr>
                <w:rFonts w:cs="Arial"/>
                <w:sz w:val="20"/>
                <w:szCs w:val="20"/>
                <w:lang w:val="en-US"/>
              </w:rPr>
              <w:t xml:space="preserve"> despite the increase number of Pediatric walk-in patients by the end of September 2017</w:t>
            </w:r>
            <w:r w:rsidR="003F69BA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EF0C16A" w14:textId="53B3F5BE" w:rsidR="00B749DB" w:rsidRPr="004910B3" w:rsidRDefault="00B749DB" w:rsidP="00C476C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FD04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FD04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FD04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FD04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D1C88F7" w:rsidR="00B749DB" w:rsidRPr="0037000B" w:rsidRDefault="00FD04D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D9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FD04D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Cs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AF8458C" w:rsidR="00B749DB" w:rsidRPr="008F71C8" w:rsidRDefault="00256D99" w:rsidP="00E212B0">
                <w:pPr>
                  <w:rPr>
                    <w:rFonts w:cs="Arial"/>
                    <w:bCs/>
                    <w:color w:val="00A3E4" w:themeColor="accent2"/>
                    <w:sz w:val="20"/>
                  </w:rPr>
                </w:pPr>
                <w:r w:rsidRPr="008F71C8">
                  <w:rPr>
                    <w:rFonts w:cs="Arial"/>
                    <w:bCs/>
                    <w:color w:val="000000" w:themeColor="text1"/>
                    <w:sz w:val="20"/>
                  </w:rPr>
                  <w:t>Patient Centred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1079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5628"/>
        <w:gridCol w:w="549"/>
      </w:tblGrid>
      <w:tr w:rsidR="00B749DB" w:rsidRPr="00CD0A93" w14:paraId="6BD332CD" w14:textId="77777777" w:rsidTr="00C94FAD">
        <w:trPr>
          <w:trHeight w:val="1254"/>
        </w:trPr>
        <w:tc>
          <w:tcPr>
            <w:tcW w:w="11079" w:type="dxa"/>
            <w:gridSpan w:val="3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58" w:type="dxa"/>
              <w:tblLook w:val="04A0" w:firstRow="1" w:lastRow="0" w:firstColumn="1" w:lastColumn="0" w:noHBand="0" w:noVBand="1"/>
            </w:tblPr>
            <w:tblGrid>
              <w:gridCol w:w="5329"/>
              <w:gridCol w:w="5329"/>
            </w:tblGrid>
            <w:tr w:rsidR="00B749DB" w14:paraId="16F98123" w14:textId="77777777" w:rsidTr="00C94FAD">
              <w:trPr>
                <w:trHeight w:val="389"/>
              </w:trPr>
              <w:tc>
                <w:tcPr>
                  <w:tcW w:w="5329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29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C94FAD">
              <w:trPr>
                <w:trHeight w:val="548"/>
              </w:trPr>
              <w:tc>
                <w:tcPr>
                  <w:tcW w:w="5329" w:type="dxa"/>
                </w:tcPr>
                <w:p w14:paraId="197447C8" w14:textId="529C2745" w:rsidR="008E400D" w:rsidRPr="008E49C2" w:rsidRDefault="00301903" w:rsidP="0030190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 xml:space="preserve">Percentage of </w:t>
                  </w:r>
                  <w:r w:rsidR="003F69BA" w:rsidRPr="003F69BA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Patient Satisfaction</w:t>
                  </w:r>
                  <w:r w:rsidR="003F69BA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 xml:space="preserve"> in</w:t>
                  </w:r>
                  <w:r w:rsidR="003F69BA" w:rsidRPr="003F69BA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 xml:space="preserve"> Pediatric Clinic</w:t>
                  </w:r>
                </w:p>
              </w:tc>
              <w:tc>
                <w:tcPr>
                  <w:tcW w:w="5329" w:type="dxa"/>
                </w:tcPr>
                <w:p w14:paraId="1CF29601" w14:textId="35EC8E9E" w:rsidR="008E400D" w:rsidRPr="006001F0" w:rsidRDefault="00AD7CBA" w:rsidP="003F69BA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≥</w:t>
                  </w:r>
                  <w:r w:rsidR="003F69BA" w:rsidRPr="003F69BA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97%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C94FAD">
        <w:trPr>
          <w:trHeight w:val="1834"/>
        </w:trPr>
        <w:tc>
          <w:tcPr>
            <w:tcW w:w="11079" w:type="dxa"/>
            <w:gridSpan w:val="3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5181688" w14:textId="47D1971F" w:rsidR="003F69BA" w:rsidRPr="00B37C71" w:rsidRDefault="003F69BA" w:rsidP="00B37C7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F69BA">
              <w:rPr>
                <w:rFonts w:cs="Arial"/>
                <w:sz w:val="20"/>
                <w:szCs w:val="28"/>
              </w:rPr>
              <w:t>Created nu</w:t>
            </w:r>
            <w:r w:rsidR="00B37C71">
              <w:rPr>
                <w:rFonts w:cs="Arial"/>
                <w:sz w:val="20"/>
                <w:szCs w:val="28"/>
              </w:rPr>
              <w:t xml:space="preserve">rse walk-in clinic to intercept </w:t>
            </w:r>
            <w:r w:rsidRPr="00B37C71">
              <w:rPr>
                <w:rFonts w:cs="Arial"/>
                <w:sz w:val="20"/>
                <w:szCs w:val="28"/>
              </w:rPr>
              <w:t xml:space="preserve">walk-in patients, </w:t>
            </w:r>
            <w:r w:rsidR="00B37C71">
              <w:rPr>
                <w:rFonts w:cs="Arial"/>
                <w:sz w:val="20"/>
                <w:szCs w:val="28"/>
              </w:rPr>
              <w:t xml:space="preserve">and </w:t>
            </w:r>
            <w:r w:rsidRPr="00B37C71">
              <w:rPr>
                <w:rFonts w:cs="Arial"/>
                <w:sz w:val="20"/>
                <w:szCs w:val="28"/>
              </w:rPr>
              <w:t xml:space="preserve">immediate action will be provided </w:t>
            </w:r>
            <w:r w:rsidR="00B37C71">
              <w:rPr>
                <w:rFonts w:cs="Arial"/>
                <w:sz w:val="20"/>
                <w:szCs w:val="28"/>
              </w:rPr>
              <w:t xml:space="preserve">according </w:t>
            </w:r>
            <w:r w:rsidRPr="00B37C71">
              <w:rPr>
                <w:rFonts w:cs="Arial"/>
                <w:sz w:val="20"/>
                <w:szCs w:val="28"/>
              </w:rPr>
              <w:t>to patient’s needs.</w:t>
            </w:r>
          </w:p>
          <w:p w14:paraId="5626422A" w14:textId="26B8E0E3" w:rsidR="003F69BA" w:rsidRPr="003F69BA" w:rsidRDefault="003F69BA" w:rsidP="00B37C7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F69BA">
              <w:rPr>
                <w:rFonts w:cs="Arial"/>
                <w:sz w:val="20"/>
                <w:szCs w:val="28"/>
              </w:rPr>
              <w:t>Collaborated with physicians to immediately respon</w:t>
            </w:r>
            <w:r w:rsidR="00B37C71">
              <w:rPr>
                <w:rFonts w:cs="Arial"/>
                <w:sz w:val="20"/>
                <w:szCs w:val="28"/>
              </w:rPr>
              <w:t>d to pager.</w:t>
            </w:r>
          </w:p>
          <w:p w14:paraId="109B67E1" w14:textId="4863DE50" w:rsidR="003F69BA" w:rsidRPr="003F69BA" w:rsidRDefault="003F69BA" w:rsidP="00B3612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3F69BA">
              <w:rPr>
                <w:rFonts w:cs="Arial"/>
                <w:sz w:val="20"/>
                <w:szCs w:val="28"/>
              </w:rPr>
              <w:t xml:space="preserve">Minimized printing and utilization of papers by </w:t>
            </w:r>
            <w:r w:rsidR="00B36125">
              <w:rPr>
                <w:rFonts w:cs="Arial"/>
                <w:sz w:val="20"/>
                <w:szCs w:val="28"/>
              </w:rPr>
              <w:t xml:space="preserve">educating </w:t>
            </w:r>
            <w:r w:rsidRPr="003F69BA">
              <w:rPr>
                <w:rFonts w:cs="Arial"/>
                <w:sz w:val="20"/>
                <w:szCs w:val="28"/>
              </w:rPr>
              <w:t xml:space="preserve">patient and </w:t>
            </w:r>
            <w:r w:rsidR="00B36125">
              <w:rPr>
                <w:rFonts w:cs="Arial"/>
                <w:sz w:val="20"/>
                <w:szCs w:val="28"/>
              </w:rPr>
              <w:t xml:space="preserve">giving </w:t>
            </w:r>
            <w:r w:rsidRPr="003F69BA">
              <w:rPr>
                <w:rFonts w:cs="Arial"/>
                <w:sz w:val="20"/>
                <w:szCs w:val="28"/>
              </w:rPr>
              <w:t>instruction</w:t>
            </w:r>
            <w:r w:rsidR="00B36125">
              <w:rPr>
                <w:rFonts w:cs="Arial"/>
                <w:sz w:val="20"/>
                <w:szCs w:val="28"/>
              </w:rPr>
              <w:t>s</w:t>
            </w:r>
            <w:r w:rsidRPr="003F69BA">
              <w:rPr>
                <w:rFonts w:cs="Arial"/>
                <w:sz w:val="20"/>
                <w:szCs w:val="28"/>
              </w:rPr>
              <w:t xml:space="preserve"> to use MRN in the LAB, Pharmacy &amp; Radiology.</w:t>
            </w:r>
          </w:p>
          <w:p w14:paraId="5900E502" w14:textId="11C7FF41" w:rsidR="00B749DB" w:rsidRPr="003F69BA" w:rsidRDefault="00B36125" w:rsidP="00B36125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sz w:val="20"/>
                <w:szCs w:val="28"/>
              </w:rPr>
              <w:t>Development of e</w:t>
            </w:r>
            <w:r w:rsidR="003F69BA" w:rsidRPr="003F69BA">
              <w:rPr>
                <w:rFonts w:cs="Arial"/>
                <w:sz w:val="20"/>
                <w:szCs w:val="28"/>
              </w:rPr>
              <w:t xml:space="preserve">ducational material </w:t>
            </w:r>
            <w:r>
              <w:rPr>
                <w:rFonts w:cs="Arial"/>
                <w:sz w:val="20"/>
                <w:szCs w:val="28"/>
              </w:rPr>
              <w:t xml:space="preserve">to be available and distributed at the </w:t>
            </w:r>
            <w:r w:rsidR="003F69BA" w:rsidRPr="003F69BA">
              <w:rPr>
                <w:rFonts w:cs="Arial"/>
                <w:sz w:val="20"/>
                <w:szCs w:val="28"/>
              </w:rPr>
              <w:t xml:space="preserve">Registration and Appointment </w:t>
            </w:r>
            <w:r>
              <w:rPr>
                <w:rFonts w:cs="Arial"/>
                <w:sz w:val="20"/>
                <w:szCs w:val="28"/>
              </w:rPr>
              <w:t>desk.</w:t>
            </w:r>
          </w:p>
        </w:tc>
      </w:tr>
      <w:tr w:rsidR="00B749DB" w:rsidRPr="00CD0A93" w14:paraId="4C64EF4B" w14:textId="77777777" w:rsidTr="00E37152">
        <w:trPr>
          <w:trHeight w:val="8730"/>
        </w:trPr>
        <w:tc>
          <w:tcPr>
            <w:tcW w:w="11079" w:type="dxa"/>
            <w:gridSpan w:val="3"/>
          </w:tcPr>
          <w:p w14:paraId="4B182767" w14:textId="1FF5B7B3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30951F83" w14:textId="77777777" w:rsidR="005B23D1" w:rsidRDefault="005B23D1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683EE839" w14:textId="505FB8D6" w:rsidR="005B23D1" w:rsidRDefault="005B23D1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0342BECA" w14:textId="77777777" w:rsidR="005B23D1" w:rsidRPr="00DD439D" w:rsidRDefault="005B23D1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tbl>
            <w:tblPr>
              <w:tblpPr w:leftFromText="180" w:rightFromText="180" w:vertAnchor="page" w:horzAnchor="margin" w:tblpY="316"/>
              <w:tblOverlap w:val="never"/>
              <w:tblW w:w="10699" w:type="dxa"/>
              <w:tblLook w:val="04A0" w:firstRow="1" w:lastRow="0" w:firstColumn="1" w:lastColumn="0" w:noHBand="0" w:noVBand="1"/>
            </w:tblPr>
            <w:tblGrid>
              <w:gridCol w:w="3117"/>
              <w:gridCol w:w="1215"/>
              <w:gridCol w:w="1399"/>
              <w:gridCol w:w="1272"/>
              <w:gridCol w:w="1198"/>
              <w:gridCol w:w="1534"/>
              <w:gridCol w:w="964"/>
            </w:tblGrid>
            <w:tr w:rsidR="005B23D1" w:rsidRPr="003D2665" w14:paraId="2CF107C8" w14:textId="77777777" w:rsidTr="005B23D1">
              <w:trPr>
                <w:trHeight w:val="376"/>
              </w:trPr>
              <w:tc>
                <w:tcPr>
                  <w:tcW w:w="106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</w:tcPr>
                <w:p w14:paraId="42A8CD40" w14:textId="77777777" w:rsidR="005B23D1" w:rsidRPr="00C94FAD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</w:pP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  <w:t>Pediatric Clinic Patient Satisfaction 2</w:t>
                  </w: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vertAlign w:val="superscript"/>
                      <w:lang w:val="en-US"/>
                    </w:rPr>
                    <w:t>nd</w:t>
                  </w: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  <w:t xml:space="preserve"> Quarter 2017</w:t>
                  </w:r>
                </w:p>
                <w:p w14:paraId="60D6D688" w14:textId="77777777" w:rsidR="005B23D1" w:rsidRPr="00E566A8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val="en-US"/>
                    </w:rPr>
                  </w:pPr>
                </w:p>
              </w:tc>
            </w:tr>
            <w:tr w:rsidR="005B23D1" w:rsidRPr="003D2665" w14:paraId="4231D1D3" w14:textId="77777777" w:rsidTr="005B23D1">
              <w:trPr>
                <w:trHeight w:val="426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  <w:hideMark/>
                </w:tcPr>
                <w:p w14:paraId="35C45E78" w14:textId="77777777" w:rsidR="005B23D1" w:rsidRPr="003D2665" w:rsidRDefault="005B23D1" w:rsidP="005B23D1">
                  <w:pPr>
                    <w:spacing w:line="240" w:lineRule="auto"/>
                    <w:ind w:left="135" w:hanging="27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Clinic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  <w:hideMark/>
                </w:tcPr>
                <w:p w14:paraId="49690121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D266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General </w:t>
                  </w: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Pediatrics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  <w:hideMark/>
                </w:tcPr>
                <w:p w14:paraId="5C5D192A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Infectious Diseases </w:t>
                  </w: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Pediatrics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  <w:hideMark/>
                </w:tcPr>
                <w:p w14:paraId="7A9B59B7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Nephrology </w:t>
                  </w: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Pediatrics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  <w:hideMark/>
                </w:tcPr>
                <w:p w14:paraId="34CDAC2E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Pulmonary </w:t>
                  </w: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Pediatrics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  <w:hideMark/>
                </w:tcPr>
                <w:p w14:paraId="51532D5D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Rheumatology </w:t>
                  </w:r>
                  <w:r w:rsidRPr="00C94FA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Pediatrics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5B9BD5" w:fill="5B9BD5"/>
                  <w:noWrap/>
                  <w:hideMark/>
                </w:tcPr>
                <w:p w14:paraId="7F001BA7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Average</w:t>
                  </w:r>
                </w:p>
              </w:tc>
            </w:tr>
            <w:tr w:rsidR="005B23D1" w:rsidRPr="003D2665" w14:paraId="1ED4A183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hideMark/>
                </w:tcPr>
                <w:p w14:paraId="0C4B64BF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Did the nurses treat you with courtesy?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4A5BD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71FE7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F8508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72DF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6D597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754CD001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</w:tr>
            <w:tr w:rsidR="005B23D1" w:rsidRPr="003D2665" w14:paraId="2B6C0A46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4EED6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How would you rate the nursing service?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B7630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96%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1DF3D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DEBCB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BB346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946D1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192E9738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</w:tr>
            <w:tr w:rsidR="005B23D1" w:rsidRPr="003D2665" w14:paraId="05332708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hideMark/>
                </w:tcPr>
                <w:p w14:paraId="6AD2EB7B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Degree of Nurse’s to include you in your treatment decisions.*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0B589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96%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11952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51C62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E9AEB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9EF82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1826024E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</w:tr>
            <w:tr w:rsidR="005B23D1" w:rsidRPr="003D2665" w14:paraId="1CEB44BE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6D1655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Extent to which nurses verified your name and medical records number before giving you any treatment (e</w:t>
                  </w:r>
                  <w:r w:rsidRPr="00C94FA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x:</w:t>
                  </w: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Medication, Procedure, or Tests).*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E65BC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96%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1D99A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96%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5CFF9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853EF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8AE73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93536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96%</w:t>
                  </w:r>
                </w:p>
              </w:tc>
            </w:tr>
            <w:tr w:rsidR="005B23D1" w:rsidRPr="003D2665" w14:paraId="7EC03EAC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hideMark/>
                </w:tcPr>
                <w:p w14:paraId="08B8E4A0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Response to concerns/complaints made during your visit.*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7790F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C115C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2D941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55C7E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2B5C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503E3D3D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5B23D1" w:rsidRPr="003D2665" w14:paraId="6AE22295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3153CE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Responsiveness of nurses to your needs.*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8E178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EBE6B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BD23B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D0696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28A93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4A7AFA53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</w:tr>
            <w:tr w:rsidR="005B23D1" w:rsidRPr="003D2665" w14:paraId="39E4B488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hideMark/>
                </w:tcPr>
                <w:p w14:paraId="0055A592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Degree to which nurses took time to listen to you.*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D73D4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18926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745B4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9EE7F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F4B63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698BF937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</w:tr>
            <w:tr w:rsidR="005B23D1" w:rsidRPr="003D2665" w14:paraId="0E2FF416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EA16C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Overall rating of the outpatient education you received.*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361CE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172B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96%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1A5DC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4CF93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C0E66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19312A49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</w:tr>
            <w:tr w:rsidR="005B23D1" w:rsidRPr="003D2665" w14:paraId="041D7035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hideMark/>
                </w:tcPr>
                <w:p w14:paraId="60B3A0FE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How well staff worked together to provide care?*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42888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96%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3D7B3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6D642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64890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AAB10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30212F39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</w:tr>
            <w:tr w:rsidR="005B23D1" w:rsidRPr="003D2665" w14:paraId="59F35E30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665434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Degree of nurses’ sensitivity to any pain you may have experienced.*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3C84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92%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33D8A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CA9B5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73EAC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C35FD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44DFD4CC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</w:tr>
            <w:tr w:rsidR="005B23D1" w:rsidRPr="003D2665" w14:paraId="3113762A" w14:textId="77777777" w:rsidTr="00B36125">
              <w:trPr>
                <w:trHeight w:val="133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DEBF7" w:fill="DDEBF7"/>
                  <w:noWrap/>
                  <w:hideMark/>
                </w:tcPr>
                <w:p w14:paraId="68714D99" w14:textId="77777777" w:rsidR="005B23D1" w:rsidRPr="003D2665" w:rsidRDefault="005B23D1" w:rsidP="005B23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Total outpatient nursing score (average)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AD194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7034A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16A3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F1C25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7825F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41714290" w14:textId="77777777" w:rsidR="005B23D1" w:rsidRPr="003D2665" w:rsidRDefault="005B23D1" w:rsidP="005B23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3D26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98%</w:t>
                  </w:r>
                </w:p>
              </w:tc>
            </w:tr>
          </w:tbl>
          <w:p w14:paraId="160B22DB" w14:textId="0AC2BAAD" w:rsidR="00B749DB" w:rsidRPr="009E461E" w:rsidRDefault="00B749DB" w:rsidP="009E461E"/>
        </w:tc>
      </w:tr>
      <w:tr w:rsidR="0096065F" w:rsidRPr="00CD0A93" w14:paraId="65026527" w14:textId="77777777" w:rsidTr="005B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" w:type="dxa"/>
          <w:trHeight w:val="310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2F6B7905" w:rsidR="0096065F" w:rsidRPr="00CD0A93" w:rsidRDefault="00E566A8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</w:t>
            </w:r>
            <w:r w:rsidR="0096065F">
              <w:rPr>
                <w:rFonts w:cs="Arial"/>
                <w:b/>
                <w:color w:val="FFFFFF" w:themeColor="background1"/>
                <w:sz w:val="20"/>
              </w:rPr>
              <w:t>roject Lead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5B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" w:type="dxa"/>
          <w:trHeight w:val="137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5B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9" w:type="dxa"/>
          <w:trHeight w:val="303"/>
        </w:trPr>
        <w:sdt>
          <w:sdtPr>
            <w:rPr>
              <w:rFonts w:asciiTheme="minorBidi" w:hAnsiTheme="minorBidi"/>
              <w:sz w:val="20"/>
              <w:szCs w:val="20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9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26608577" w:rsidR="0096065F" w:rsidRPr="00DD439D" w:rsidRDefault="003F69BA" w:rsidP="00237C0B">
                <w:pPr>
                  <w:rPr>
                    <w:rFonts w:cs="Arial"/>
                    <w:sz w:val="20"/>
                    <w:szCs w:val="20"/>
                  </w:rPr>
                </w:pPr>
                <w:r w:rsidRPr="003F69BA">
                  <w:rPr>
                    <w:rFonts w:asciiTheme="minorBidi" w:hAnsiTheme="minorBidi"/>
                    <w:sz w:val="20"/>
                    <w:szCs w:val="20"/>
                    <w:lang w:val="en-US"/>
                  </w:rPr>
                  <w:t>Josephine Lalu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6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FBF0A1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Jennel Estolano</w:t>
                </w:r>
              </w:p>
              <w:p w14:paraId="2A4B0C95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Mary Anchilla Verdaguer</w:t>
                </w:r>
              </w:p>
              <w:p w14:paraId="1C2E7D88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Edna Delos Santos</w:t>
                </w:r>
              </w:p>
              <w:p w14:paraId="3E92963C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Imelda Casila</w:t>
                </w:r>
              </w:p>
              <w:p w14:paraId="189A4EBF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Jennifer Pagsuyoin</w:t>
                </w:r>
              </w:p>
              <w:p w14:paraId="72CBABC8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Waad AlMutairi</w:t>
                </w:r>
              </w:p>
              <w:p w14:paraId="0A8A12EB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Annaluz Pereira</w:t>
                </w:r>
              </w:p>
              <w:p w14:paraId="6E046D34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Rufina Jaranilla</w:t>
                </w:r>
              </w:p>
              <w:p w14:paraId="3ADE47B2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Maria Theresa Llanes</w:t>
                </w:r>
              </w:p>
              <w:p w14:paraId="7C714F67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Liza Jane Gomez</w:t>
                </w:r>
              </w:p>
              <w:p w14:paraId="22001729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Mezna AlMaturi</w:t>
                </w:r>
              </w:p>
              <w:p w14:paraId="7885335E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Swapna Peethambaran</w:t>
                </w:r>
              </w:p>
              <w:p w14:paraId="2910952F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Ashly Kurian</w:t>
                </w:r>
              </w:p>
              <w:p w14:paraId="7C38059C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Taghreed AlKharaan</w:t>
                </w:r>
              </w:p>
              <w:p w14:paraId="0C3C3433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Florence Erista</w:t>
                </w:r>
              </w:p>
              <w:p w14:paraId="7CAB4C2F" w14:textId="77777777" w:rsidR="005B23D1" w:rsidRPr="005B23D1" w:rsidRDefault="005B23D1" w:rsidP="005B23D1">
                <w:pPr>
                  <w:rPr>
                    <w:rFonts w:cs="Arial"/>
                    <w:sz w:val="20"/>
                    <w:szCs w:val="20"/>
                  </w:rPr>
                </w:pPr>
                <w:r w:rsidRPr="005B23D1">
                  <w:rPr>
                    <w:rFonts w:cs="Arial"/>
                    <w:sz w:val="20"/>
                    <w:szCs w:val="20"/>
                  </w:rPr>
                  <w:t>Karen Susmiran</w:t>
                </w:r>
              </w:p>
              <w:p w14:paraId="088DE97C" w14:textId="5296A81A" w:rsidR="00E566A8" w:rsidRDefault="005B23D1" w:rsidP="005B23D1">
                <w:r w:rsidRPr="005B23D1">
                  <w:rPr>
                    <w:rFonts w:cs="Arial"/>
                    <w:sz w:val="20"/>
                    <w:szCs w:val="20"/>
                  </w:rPr>
                  <w:t>Stella Marie Halili</w:t>
                </w:r>
              </w:p>
              <w:p w14:paraId="68D5A190" w14:textId="490E879D" w:rsidR="0096065F" w:rsidRPr="0096065F" w:rsidRDefault="0096065F" w:rsidP="00237C0B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436C" w14:textId="77777777" w:rsidR="00FD04D1" w:rsidRDefault="00FD04D1" w:rsidP="00DA3815">
      <w:pPr>
        <w:spacing w:line="240" w:lineRule="auto"/>
      </w:pPr>
      <w:r>
        <w:separator/>
      </w:r>
    </w:p>
  </w:endnote>
  <w:endnote w:type="continuationSeparator" w:id="0">
    <w:p w14:paraId="46EADE9A" w14:textId="77777777" w:rsidR="00FD04D1" w:rsidRDefault="00FD04D1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472B" w14:textId="77777777" w:rsidR="00FD04D1" w:rsidRDefault="00FD04D1" w:rsidP="00DA3815">
      <w:pPr>
        <w:spacing w:line="240" w:lineRule="auto"/>
      </w:pPr>
      <w:r>
        <w:separator/>
      </w:r>
    </w:p>
  </w:footnote>
  <w:footnote w:type="continuationSeparator" w:id="0">
    <w:p w14:paraId="6564DFCA" w14:textId="77777777" w:rsidR="00FD04D1" w:rsidRDefault="00FD04D1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2FB836EA"/>
    <w:lvl w:ilvl="0" w:tplc="1C44B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22AF7"/>
    <w:rsid w:val="00035DDD"/>
    <w:rsid w:val="00076024"/>
    <w:rsid w:val="0008253B"/>
    <w:rsid w:val="000909D8"/>
    <w:rsid w:val="00097EAF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E18CF"/>
    <w:rsid w:val="001E3DFE"/>
    <w:rsid w:val="001E7C56"/>
    <w:rsid w:val="002030E1"/>
    <w:rsid w:val="0023755E"/>
    <w:rsid w:val="00237C0B"/>
    <w:rsid w:val="00256D99"/>
    <w:rsid w:val="00274E65"/>
    <w:rsid w:val="00294548"/>
    <w:rsid w:val="00297D61"/>
    <w:rsid w:val="00301903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2665"/>
    <w:rsid w:val="003D4C9D"/>
    <w:rsid w:val="003F69BA"/>
    <w:rsid w:val="00403D89"/>
    <w:rsid w:val="004354BE"/>
    <w:rsid w:val="00440AFE"/>
    <w:rsid w:val="004714F0"/>
    <w:rsid w:val="004820D2"/>
    <w:rsid w:val="004910B3"/>
    <w:rsid w:val="00493ED8"/>
    <w:rsid w:val="004A2D9E"/>
    <w:rsid w:val="004A4AD7"/>
    <w:rsid w:val="004D2577"/>
    <w:rsid w:val="00504D15"/>
    <w:rsid w:val="005109DB"/>
    <w:rsid w:val="00511D7C"/>
    <w:rsid w:val="00520A7E"/>
    <w:rsid w:val="00522F51"/>
    <w:rsid w:val="0052368C"/>
    <w:rsid w:val="00547293"/>
    <w:rsid w:val="00570D98"/>
    <w:rsid w:val="00581F4F"/>
    <w:rsid w:val="00597FE0"/>
    <w:rsid w:val="005B23D1"/>
    <w:rsid w:val="005E0327"/>
    <w:rsid w:val="005F78B0"/>
    <w:rsid w:val="006001F0"/>
    <w:rsid w:val="00616BAB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C5B94"/>
    <w:rsid w:val="007D68EF"/>
    <w:rsid w:val="0080056A"/>
    <w:rsid w:val="00847F33"/>
    <w:rsid w:val="008A3BB1"/>
    <w:rsid w:val="008B786E"/>
    <w:rsid w:val="008E400D"/>
    <w:rsid w:val="008E49C2"/>
    <w:rsid w:val="008E6640"/>
    <w:rsid w:val="008F71C8"/>
    <w:rsid w:val="00902833"/>
    <w:rsid w:val="00923B4A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C654F"/>
    <w:rsid w:val="009E10A3"/>
    <w:rsid w:val="009E461E"/>
    <w:rsid w:val="00A11756"/>
    <w:rsid w:val="00A22B24"/>
    <w:rsid w:val="00A2683F"/>
    <w:rsid w:val="00A70EA8"/>
    <w:rsid w:val="00AD7CBA"/>
    <w:rsid w:val="00AE2E61"/>
    <w:rsid w:val="00AF2E89"/>
    <w:rsid w:val="00B236BD"/>
    <w:rsid w:val="00B36125"/>
    <w:rsid w:val="00B37C71"/>
    <w:rsid w:val="00B57125"/>
    <w:rsid w:val="00B67535"/>
    <w:rsid w:val="00B749DB"/>
    <w:rsid w:val="00B845E4"/>
    <w:rsid w:val="00BB18B7"/>
    <w:rsid w:val="00BB6643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94FAD"/>
    <w:rsid w:val="00CB0057"/>
    <w:rsid w:val="00CB75A8"/>
    <w:rsid w:val="00CC0AD8"/>
    <w:rsid w:val="00CD0A93"/>
    <w:rsid w:val="00D1655C"/>
    <w:rsid w:val="00DA3815"/>
    <w:rsid w:val="00DD439D"/>
    <w:rsid w:val="00E23C1B"/>
    <w:rsid w:val="00E37152"/>
    <w:rsid w:val="00E53924"/>
    <w:rsid w:val="00E566A8"/>
    <w:rsid w:val="00EB0D7B"/>
    <w:rsid w:val="00ED38E1"/>
    <w:rsid w:val="00F11F8C"/>
    <w:rsid w:val="00F34060"/>
    <w:rsid w:val="00F3533A"/>
    <w:rsid w:val="00F63B9D"/>
    <w:rsid w:val="00F66496"/>
    <w:rsid w:val="00F74338"/>
    <w:rsid w:val="00FC3EA3"/>
    <w:rsid w:val="00FD04D1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372AE"/>
    <w:rsid w:val="003B298D"/>
    <w:rsid w:val="00426A00"/>
    <w:rsid w:val="004C412D"/>
    <w:rsid w:val="004D6A5F"/>
    <w:rsid w:val="00524521"/>
    <w:rsid w:val="006A0560"/>
    <w:rsid w:val="006D67F3"/>
    <w:rsid w:val="007E62B5"/>
    <w:rsid w:val="009C63E1"/>
    <w:rsid w:val="009D7071"/>
    <w:rsid w:val="00AF04DC"/>
    <w:rsid w:val="00B254DF"/>
    <w:rsid w:val="00B54303"/>
    <w:rsid w:val="00BC5EC8"/>
    <w:rsid w:val="00C253A4"/>
    <w:rsid w:val="00C465D8"/>
    <w:rsid w:val="00CC3F6B"/>
    <w:rsid w:val="00CC6684"/>
    <w:rsid w:val="00D763C9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2D24-5DBC-4E28-B1A5-CD12685A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10</cp:revision>
  <cp:lastPrinted>2017-12-31T20:40:00Z</cp:lastPrinted>
  <dcterms:created xsi:type="dcterms:W3CDTF">2018-04-01T09:05:00Z</dcterms:created>
  <dcterms:modified xsi:type="dcterms:W3CDTF">2018-04-03T05:09:00Z</dcterms:modified>
</cp:coreProperties>
</file>