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46E6363E" w:rsidR="00C476C9" w:rsidRPr="00714581" w:rsidRDefault="00C97D7E" w:rsidP="00C97D7E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D</w:t>
            </w:r>
            <w:r w:rsidRPr="00C97D7E">
              <w:rPr>
                <w:rFonts w:cs="Arial"/>
                <w:bCs/>
                <w:sz w:val="20"/>
                <w:szCs w:val="20"/>
                <w:lang w:val="en-US"/>
              </w:rPr>
              <w:t>ocumentation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of Administered R</w:t>
            </w:r>
            <w:r w:rsidR="005951BC" w:rsidRPr="005951BC">
              <w:rPr>
                <w:rFonts w:cs="Arial"/>
                <w:bCs/>
                <w:sz w:val="20"/>
                <w:szCs w:val="20"/>
                <w:lang w:val="en-US"/>
              </w:rPr>
              <w:t>espi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ratory medications 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9B7D2C0" w:rsidR="00B749DB" w:rsidRPr="00321654" w:rsidRDefault="00C31BE8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31BE8">
                  <w:rPr>
                    <w:rFonts w:cs="Arial"/>
                    <w:color w:val="000000" w:themeColor="text1"/>
                    <w:sz w:val="20"/>
                  </w:rPr>
                  <w:t>Respiratory Care Services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5-14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BA0C08B" w:rsidR="00B749DB" w:rsidRPr="00321654" w:rsidRDefault="00C31BE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05-14-2017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41833085" w:rsidR="00B749DB" w:rsidRPr="00321654" w:rsidRDefault="00C31BE8" w:rsidP="00B415D4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</w:t>
                </w:r>
                <w:r w:rsidR="00B415D4">
                  <w:rPr>
                    <w:rFonts w:cs="Arial"/>
                    <w:color w:val="000000" w:themeColor="text1"/>
                    <w:sz w:val="20"/>
                  </w:rPr>
                  <w:t>9</w:t>
                </w:r>
                <w:r>
                  <w:rPr>
                    <w:rFonts w:cs="Arial"/>
                    <w:color w:val="000000" w:themeColor="text1"/>
                    <w:sz w:val="20"/>
                  </w:rPr>
                  <w:t>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461BBC6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C71CA7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C71CA7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C71CA7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C71CA7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11709E4" w14:textId="77777777" w:rsidR="00920B2F" w:rsidRPr="00C71CA7" w:rsidRDefault="00920B2F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AB97959" w14:textId="27F0D8EB" w:rsidR="00C71CA7" w:rsidRPr="00C71CA7" w:rsidRDefault="00EA4468" w:rsidP="008401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</w:rPr>
                <w:alias w:val="Department"/>
                <w:tag w:val="Department"/>
                <w:id w:val="1504863732"/>
                <w:placeholder>
                  <w:docPart w:val="FB73CD80BF36488BBAF985A94D29A546"/>
                </w:placeholder>
                <w15:color w:val="FFFFFF"/>
                <w:text w:multiLine="1"/>
              </w:sdtPr>
              <w:sdtEndPr/>
              <w:sdtContent>
                <w:r w:rsidR="009F08C3" w:rsidRPr="00C71CA7">
                  <w:rPr>
                    <w:rFonts w:cs="Arial"/>
                    <w:color w:val="000000" w:themeColor="text1"/>
                    <w:sz w:val="20"/>
                  </w:rPr>
                  <w:t>Respiratory Care Services</w:t>
                </w:r>
              </w:sdtContent>
            </w:sdt>
            <w:r w:rsidR="009F08C3" w:rsidRPr="00C71CA7">
              <w:rPr>
                <w:rFonts w:cs="Arial"/>
                <w:sz w:val="20"/>
                <w:szCs w:val="20"/>
              </w:rPr>
              <w:t xml:space="preserve"> </w:t>
            </w:r>
            <w:r w:rsidR="008401A4">
              <w:rPr>
                <w:rFonts w:cs="Arial"/>
                <w:sz w:val="20"/>
                <w:szCs w:val="20"/>
              </w:rPr>
              <w:t>has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 developed</w:t>
            </w:r>
            <w:r w:rsidR="009F08C3" w:rsidRPr="00C71CA7">
              <w:rPr>
                <w:rFonts w:cs="Arial"/>
                <w:sz w:val="20"/>
                <w:szCs w:val="20"/>
              </w:rPr>
              <w:t xml:space="preserve"> a quality </w:t>
            </w:r>
          </w:p>
          <w:p w14:paraId="692420C9" w14:textId="392F1B10" w:rsidR="008E5D95" w:rsidRPr="00C71CA7" w:rsidRDefault="009F08C3" w:rsidP="00920B2F">
            <w:pPr>
              <w:rPr>
                <w:rFonts w:cs="Arial"/>
                <w:sz w:val="20"/>
                <w:szCs w:val="20"/>
              </w:rPr>
            </w:pPr>
            <w:r w:rsidRPr="00C71CA7">
              <w:rPr>
                <w:rFonts w:cs="Arial"/>
                <w:sz w:val="20"/>
                <w:szCs w:val="20"/>
              </w:rPr>
              <w:t>indicator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 to</w:t>
            </w:r>
            <w:r w:rsidRPr="00C71CA7">
              <w:rPr>
                <w:rFonts w:cs="Arial"/>
                <w:sz w:val="20"/>
                <w:szCs w:val="20"/>
              </w:rPr>
              <w:t xml:space="preserve"> measure 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the </w:t>
            </w:r>
            <w:r w:rsidR="008E5D95" w:rsidRPr="00C71CA7">
              <w:rPr>
                <w:rFonts w:cs="Arial"/>
                <w:sz w:val="20"/>
                <w:szCs w:val="20"/>
              </w:rPr>
              <w:t xml:space="preserve">percentage of </w:t>
            </w:r>
            <w:r w:rsidR="00F91777">
              <w:rPr>
                <w:rFonts w:cs="Arial"/>
                <w:sz w:val="20"/>
                <w:szCs w:val="20"/>
              </w:rPr>
              <w:t>r</w:t>
            </w:r>
            <w:r w:rsidR="008E5D95" w:rsidRPr="00C71CA7">
              <w:rPr>
                <w:rFonts w:cs="Arial"/>
                <w:sz w:val="20"/>
                <w:szCs w:val="20"/>
              </w:rPr>
              <w:t>espiratory medication</w:t>
            </w:r>
            <w:r w:rsidR="00920B2F">
              <w:rPr>
                <w:rFonts w:cs="Arial"/>
                <w:sz w:val="20"/>
                <w:szCs w:val="20"/>
              </w:rPr>
              <w:t>s</w:t>
            </w:r>
            <w:r w:rsidR="008E5D95" w:rsidRPr="00C71CA7">
              <w:rPr>
                <w:rFonts w:cs="Arial"/>
                <w:sz w:val="20"/>
                <w:szCs w:val="20"/>
              </w:rPr>
              <w:t xml:space="preserve"> that are administered and documented in ICIS within two hours from th</w:t>
            </w:r>
            <w:r w:rsidRPr="00C71CA7">
              <w:rPr>
                <w:rFonts w:cs="Arial"/>
                <w:sz w:val="20"/>
                <w:szCs w:val="20"/>
              </w:rPr>
              <w:t>e administration time.</w:t>
            </w:r>
          </w:p>
          <w:p w14:paraId="2A0AB376" w14:textId="15C7CB9D" w:rsidR="008E5D95" w:rsidRPr="008E5D95" w:rsidRDefault="008E5D95" w:rsidP="00920B2F">
            <w:pPr>
              <w:rPr>
                <w:rFonts w:cs="Arial"/>
                <w:sz w:val="20"/>
                <w:szCs w:val="20"/>
              </w:rPr>
            </w:pPr>
            <w:r w:rsidRPr="00920B2F">
              <w:rPr>
                <w:rFonts w:cs="Arial"/>
                <w:sz w:val="20"/>
                <w:szCs w:val="20"/>
              </w:rPr>
              <w:t>Over the year of</w:t>
            </w:r>
            <w:r w:rsidRPr="00C71CA7">
              <w:rPr>
                <w:rFonts w:cs="Arial"/>
                <w:sz w:val="20"/>
                <w:szCs w:val="20"/>
              </w:rPr>
              <w:t xml:space="preserve"> 2016 and first </w:t>
            </w:r>
            <w:r w:rsidR="00920B2F">
              <w:rPr>
                <w:rFonts w:cs="Arial"/>
                <w:sz w:val="20"/>
                <w:szCs w:val="20"/>
              </w:rPr>
              <w:t>q</w:t>
            </w:r>
            <w:r w:rsidRPr="00C71CA7">
              <w:rPr>
                <w:rFonts w:cs="Arial"/>
                <w:sz w:val="20"/>
                <w:szCs w:val="20"/>
              </w:rPr>
              <w:t>uarter of 2017</w:t>
            </w:r>
            <w:r w:rsidR="00920B2F">
              <w:rPr>
                <w:rFonts w:cs="Arial"/>
                <w:sz w:val="20"/>
                <w:szCs w:val="20"/>
              </w:rPr>
              <w:t>,</w:t>
            </w:r>
            <w:r w:rsidRPr="00C71CA7">
              <w:rPr>
                <w:rFonts w:cs="Arial"/>
                <w:sz w:val="20"/>
                <w:szCs w:val="20"/>
              </w:rPr>
              <w:t xml:space="preserve"> the targeted score for the indicator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 </w:t>
            </w:r>
            <w:r w:rsidR="00920B2F">
              <w:rPr>
                <w:rFonts w:cs="Arial"/>
                <w:sz w:val="20"/>
                <w:szCs w:val="20"/>
              </w:rPr>
              <w:t>has</w:t>
            </w:r>
            <w:r w:rsidRPr="00C71CA7">
              <w:rPr>
                <w:rFonts w:cs="Arial"/>
                <w:sz w:val="20"/>
                <w:szCs w:val="20"/>
              </w:rPr>
              <w:t xml:space="preserve"> never been reached regardless of all actions that were taken.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 Therefore, this project was selected to increase</w:t>
            </w:r>
            <w:r w:rsidR="00C71CA7" w:rsidRPr="00C71CA7">
              <w:rPr>
                <w:rFonts w:cs="Arial"/>
                <w:bCs/>
                <w:sz w:val="20"/>
                <w:szCs w:val="20"/>
                <w:lang w:val="en-US"/>
              </w:rPr>
              <w:t xml:space="preserve"> the documentation of administered respiratory medications</w:t>
            </w:r>
            <w:r w:rsidR="00C71CA7">
              <w:rPr>
                <w:rFonts w:cs="Arial"/>
                <w:bCs/>
                <w:sz w:val="20"/>
                <w:szCs w:val="20"/>
                <w:lang w:val="en-US"/>
              </w:rPr>
              <w:t xml:space="preserve"> toward</w:t>
            </w:r>
            <w:r w:rsidR="00920B2F">
              <w:rPr>
                <w:rFonts w:cs="Arial"/>
                <w:bCs/>
                <w:sz w:val="20"/>
                <w:szCs w:val="20"/>
                <w:lang w:val="en-US"/>
              </w:rPr>
              <w:t>s</w:t>
            </w:r>
            <w:r w:rsidR="00C71CA7" w:rsidRPr="00C71CA7">
              <w:rPr>
                <w:rFonts w:cs="Arial"/>
                <w:sz w:val="20"/>
                <w:szCs w:val="20"/>
              </w:rPr>
              <w:t xml:space="preserve"> improving process productivity and efficiency</w:t>
            </w:r>
            <w:r w:rsidR="00C71CA7">
              <w:rPr>
                <w:rFonts w:cs="Arial"/>
                <w:sz w:val="20"/>
                <w:szCs w:val="20"/>
              </w:rPr>
              <w:t>.</w:t>
            </w:r>
          </w:p>
          <w:p w14:paraId="2D6AA6D7" w14:textId="5E37EEA4" w:rsidR="007C5B94" w:rsidRDefault="007C5B94" w:rsidP="007C5B94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E09D967" w14:textId="60E93FA6" w:rsidR="00B749DB" w:rsidRDefault="008B00AC" w:rsidP="00B415D4">
            <w:pPr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To 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>increase the documentation</w:t>
            </w:r>
            <w:r w:rsidR="00920B2F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compliance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of</w:t>
            </w: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>a</w:t>
            </w: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dministered 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>r</w:t>
            </w: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espiratory 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>m</w:t>
            </w: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edications within two hours from </w:t>
            </w:r>
            <w:bookmarkStart w:id="0" w:name="_GoBack"/>
            <w:bookmarkEnd w:id="0"/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>administration time</w:t>
            </w:r>
            <w:r w:rsidR="0062083F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at least </w:t>
            </w:r>
            <w:r w:rsidR="00920B2F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by </w:t>
            </w:r>
            <w:r w:rsidR="0062083F">
              <w:rPr>
                <w:rFonts w:cs="Arial"/>
                <w:bCs/>
                <w:color w:val="000000" w:themeColor="text1"/>
                <w:sz w:val="20"/>
                <w:lang w:val="en-US"/>
              </w:rPr>
              <w:t>10% from the baseline</w:t>
            </w:r>
            <w:r w:rsidR="00920B2F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b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y </w:t>
            </w:r>
            <w:r w:rsidR="00920B2F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the end of </w:t>
            </w:r>
            <w:r w:rsidR="00C31BE8">
              <w:rPr>
                <w:rFonts w:cs="Arial"/>
                <w:bCs/>
                <w:color w:val="000000" w:themeColor="text1"/>
                <w:sz w:val="20"/>
                <w:lang w:val="en-US"/>
              </w:rPr>
              <w:t>3Q 2017</w:t>
            </w:r>
            <w:r w:rsidRPr="008B00AC">
              <w:rPr>
                <w:rFonts w:cs="Arial"/>
                <w:bCs/>
                <w:color w:val="000000" w:themeColor="text1"/>
                <w:sz w:val="20"/>
                <w:lang w:val="en-US"/>
              </w:rPr>
              <w:t>.</w:t>
            </w:r>
          </w:p>
          <w:p w14:paraId="0EF0C16A" w14:textId="692E3DE8" w:rsidR="00C31BE8" w:rsidRPr="004910B3" w:rsidRDefault="00C31BE8" w:rsidP="00C31BE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CBFA968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5FD2F776" w14:textId="77777777" w:rsidR="00920B2F" w:rsidRPr="0037000B" w:rsidRDefault="00920B2F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EA446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EA446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EA446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32A80FB5" w:rsidR="00B749DB" w:rsidRPr="0037000B" w:rsidRDefault="00EA446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BE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EA4468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EA446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525876A2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6CC0A9B" w14:textId="77777777" w:rsidR="00920B2F" w:rsidRDefault="00920B2F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030AA2E" w:rsidR="00B749DB" w:rsidRPr="0037000B" w:rsidRDefault="008B00AC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Timely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DB192D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197447C8" w14:textId="04871018" w:rsidR="008E400D" w:rsidRPr="008E49C2" w:rsidRDefault="00920B2F" w:rsidP="00920B2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R</w:t>
                  </w:r>
                  <w:r w:rsidR="005951BC" w:rsidRPr="005951BC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espiratory medication documentation within 2 hours from the administration time.</w:t>
                  </w:r>
                </w:p>
              </w:tc>
              <w:tc>
                <w:tcPr>
                  <w:tcW w:w="5308" w:type="dxa"/>
                </w:tcPr>
                <w:p w14:paraId="46D45B60" w14:textId="6F92AD15" w:rsidR="00D14CB1" w:rsidRPr="0062083F" w:rsidRDefault="0062083F" w:rsidP="0062083F">
                  <w:p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 w:rsidRPr="0062083F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At least 10% increase</w:t>
                  </w:r>
                  <w:r w:rsidR="00920B2F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 from baseline</w:t>
                  </w:r>
                </w:p>
                <w:p w14:paraId="1CF29601" w14:textId="75F5C628" w:rsidR="008E400D" w:rsidRPr="008E400D" w:rsidRDefault="008E400D" w:rsidP="008E49C2">
                  <w:pPr>
                    <w:pStyle w:val="ListParagraph"/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DB192D">
        <w:trPr>
          <w:trHeight w:val="1894"/>
        </w:trPr>
        <w:tc>
          <w:tcPr>
            <w:tcW w:w="10842" w:type="dxa"/>
          </w:tcPr>
          <w:p w14:paraId="2050DB7C" w14:textId="0FD69B8A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719B375" w14:textId="77777777" w:rsidR="00B415D4" w:rsidRPr="00DD439D" w:rsidRDefault="00B415D4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E17A8E0" w14:textId="77777777" w:rsidR="008E5D95" w:rsidRPr="008E5D95" w:rsidRDefault="008E5D95" w:rsidP="008E5D9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8E5D95">
              <w:rPr>
                <w:rFonts w:cs="Arial"/>
                <w:sz w:val="20"/>
                <w:szCs w:val="28"/>
              </w:rPr>
              <w:t>Development of a Brochure showing the right process for documentation.</w:t>
            </w:r>
          </w:p>
          <w:p w14:paraId="6CB69647" w14:textId="78703B3F" w:rsidR="008E5D95" w:rsidRPr="008E5D95" w:rsidRDefault="008E5D95" w:rsidP="00920B2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8E5D95">
              <w:rPr>
                <w:rFonts w:cs="Arial"/>
                <w:sz w:val="20"/>
                <w:szCs w:val="28"/>
              </w:rPr>
              <w:t>Conducted one-</w:t>
            </w:r>
            <w:r w:rsidR="00920B2F">
              <w:rPr>
                <w:rFonts w:cs="Arial"/>
                <w:sz w:val="20"/>
                <w:szCs w:val="28"/>
              </w:rPr>
              <w:t>to</w:t>
            </w:r>
            <w:r w:rsidRPr="008E5D95">
              <w:rPr>
                <w:rFonts w:cs="Arial"/>
                <w:sz w:val="20"/>
                <w:szCs w:val="28"/>
              </w:rPr>
              <w:t>-one Staff education about the right process for documentation.</w:t>
            </w:r>
          </w:p>
          <w:p w14:paraId="33B01A34" w14:textId="77777777" w:rsidR="008E5D95" w:rsidRPr="008E5D95" w:rsidRDefault="008E5D95" w:rsidP="008E5D9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8E5D95">
              <w:rPr>
                <w:rFonts w:cs="Arial"/>
                <w:sz w:val="20"/>
                <w:szCs w:val="28"/>
              </w:rPr>
              <w:t>Sending regular emails and remainders to staff.</w:t>
            </w:r>
          </w:p>
          <w:p w14:paraId="5900E502" w14:textId="4183F340" w:rsidR="00B749DB" w:rsidRPr="00DD439D" w:rsidRDefault="00B749DB" w:rsidP="008E5D95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DB192D">
        <w:trPr>
          <w:trHeight w:val="846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4FB40FC7" w:rsidR="00B749DB" w:rsidRPr="00DD439D" w:rsidRDefault="00B749DB" w:rsidP="00DB192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2ED74B0D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728CCD85" w:rsidR="009E461E" w:rsidRPr="009E461E" w:rsidRDefault="009E461E" w:rsidP="009E461E"/>
          <w:p w14:paraId="2206B5B8" w14:textId="46A85880" w:rsidR="009E461E" w:rsidRPr="009E461E" w:rsidRDefault="00DB192D" w:rsidP="009E461E">
            <w:r>
              <w:rPr>
                <w:noProof/>
                <w:lang w:val="en-US"/>
              </w:rPr>
              <w:drawing>
                <wp:inline distT="0" distB="0" distL="0" distR="0" wp14:anchorId="4357FD6B" wp14:editId="567B56DB">
                  <wp:extent cx="6543675" cy="2836388"/>
                  <wp:effectExtent l="0" t="0" r="9525" b="25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BC6DDA7" w14:textId="77777777" w:rsidR="009E461E" w:rsidRPr="009E461E" w:rsidRDefault="009E461E" w:rsidP="009E461E"/>
          <w:p w14:paraId="26925E63" w14:textId="7111E669" w:rsidR="009E461E" w:rsidRPr="009E461E" w:rsidRDefault="009E461E" w:rsidP="009E461E"/>
          <w:p w14:paraId="0A2FD564" w14:textId="77777777" w:rsidR="009E461E" w:rsidRPr="009E461E" w:rsidRDefault="009E461E" w:rsidP="009E461E"/>
          <w:p w14:paraId="160B22DB" w14:textId="292E98CA" w:rsidR="00B749DB" w:rsidRPr="009E461E" w:rsidRDefault="00B749DB" w:rsidP="009F08C3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7B14261C" w:rsidR="0096065F" w:rsidRPr="00DD439D" w:rsidRDefault="008B00AC" w:rsidP="0096065F">
                <w:pPr>
                  <w:rPr>
                    <w:rFonts w:cs="Arial"/>
                    <w:sz w:val="20"/>
                    <w:szCs w:val="20"/>
                  </w:rPr>
                </w:pPr>
                <w:r w:rsidRPr="008B00AC">
                  <w:rPr>
                    <w:rFonts w:cs="Arial"/>
                    <w:sz w:val="20"/>
                    <w:szCs w:val="20"/>
                  </w:rPr>
                  <w:t>Saad Al-Ghamdi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5E64F" w14:textId="6EA904E4" w:rsidR="008E5D95" w:rsidRPr="008E5D95" w:rsidRDefault="00920B2F" w:rsidP="008E5D9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Khalid Alsowayegh</w:t>
                </w:r>
                <w:r w:rsidR="008E5D95" w:rsidRPr="008E5D95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64B145E2" w14:textId="211A1798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Saleh Alobaid</w:t>
                </w:r>
              </w:p>
              <w:p w14:paraId="7FD2D021" w14:textId="27A5FC6B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Reem Yousef</w:t>
                </w:r>
              </w:p>
              <w:p w14:paraId="55878ACE" w14:textId="6E7A1A53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Mashail Ekhwan</w:t>
                </w:r>
              </w:p>
              <w:p w14:paraId="4BE4F4C0" w14:textId="7E9A91DC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Arwa Alnashwan</w:t>
                </w:r>
              </w:p>
              <w:p w14:paraId="298E4384" w14:textId="7EE9C65E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Susan Van Abs</w:t>
                </w:r>
              </w:p>
              <w:p w14:paraId="51C0E9A8" w14:textId="1767CCC2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Fatimah Alali</w:t>
                </w:r>
              </w:p>
              <w:p w14:paraId="70D0AF8A" w14:textId="593C168C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Kathryn Clark</w:t>
                </w:r>
              </w:p>
              <w:p w14:paraId="10EB355A" w14:textId="5366026A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Nada Hajjam</w:t>
                </w:r>
              </w:p>
              <w:p w14:paraId="2A6A66AF" w14:textId="7FC7D43A" w:rsidR="008E5D95" w:rsidRPr="008E5D95" w:rsidRDefault="008E5D95" w:rsidP="008E5D95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>Mohammed Shash</w:t>
                </w:r>
              </w:p>
              <w:p w14:paraId="4EF208C3" w14:textId="58E563F9" w:rsidR="008E5D95" w:rsidRPr="008E5D95" w:rsidRDefault="008E5D95" w:rsidP="009F08C3">
                <w:pPr>
                  <w:rPr>
                    <w:rFonts w:cs="Arial"/>
                    <w:sz w:val="20"/>
                    <w:szCs w:val="20"/>
                  </w:rPr>
                </w:pPr>
                <w:r w:rsidRPr="008E5D95">
                  <w:rPr>
                    <w:rFonts w:cs="Arial"/>
                    <w:sz w:val="20"/>
                    <w:szCs w:val="20"/>
                  </w:rPr>
                  <w:t xml:space="preserve">Fatimah Alfilfil </w:t>
                </w:r>
              </w:p>
              <w:p w14:paraId="68D5A190" w14:textId="2160517C" w:rsidR="0096065F" w:rsidRPr="0096065F" w:rsidRDefault="00920B2F" w:rsidP="009F08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Fatimah Maghraby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12A9" w14:textId="77777777" w:rsidR="00EA4468" w:rsidRDefault="00EA4468" w:rsidP="00DA3815">
      <w:pPr>
        <w:spacing w:line="240" w:lineRule="auto"/>
      </w:pPr>
      <w:r>
        <w:separator/>
      </w:r>
    </w:p>
  </w:endnote>
  <w:endnote w:type="continuationSeparator" w:id="0">
    <w:p w14:paraId="645DE6DD" w14:textId="77777777" w:rsidR="00EA4468" w:rsidRDefault="00EA446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845E" w14:textId="77777777" w:rsidR="00EA4468" w:rsidRDefault="00EA4468" w:rsidP="00DA3815">
      <w:pPr>
        <w:spacing w:line="240" w:lineRule="auto"/>
      </w:pPr>
      <w:r>
        <w:separator/>
      </w:r>
    </w:p>
  </w:footnote>
  <w:footnote w:type="continuationSeparator" w:id="0">
    <w:p w14:paraId="65FF1FE7" w14:textId="77777777" w:rsidR="00EA4468" w:rsidRDefault="00EA446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DC30DE6A"/>
    <w:lvl w:ilvl="0" w:tplc="140E9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210C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469A5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4AE5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51BC"/>
    <w:rsid w:val="00597FE0"/>
    <w:rsid w:val="005D6A98"/>
    <w:rsid w:val="005F78B0"/>
    <w:rsid w:val="00616BAB"/>
    <w:rsid w:val="0062083F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01A4"/>
    <w:rsid w:val="00847F33"/>
    <w:rsid w:val="008A3BB1"/>
    <w:rsid w:val="008B00AC"/>
    <w:rsid w:val="008B786E"/>
    <w:rsid w:val="008E400D"/>
    <w:rsid w:val="008E49C2"/>
    <w:rsid w:val="008E5D95"/>
    <w:rsid w:val="008E6640"/>
    <w:rsid w:val="00902833"/>
    <w:rsid w:val="00920B2F"/>
    <w:rsid w:val="00923B4A"/>
    <w:rsid w:val="00923ECE"/>
    <w:rsid w:val="009318AC"/>
    <w:rsid w:val="00944197"/>
    <w:rsid w:val="0096065F"/>
    <w:rsid w:val="00964042"/>
    <w:rsid w:val="0097107A"/>
    <w:rsid w:val="009816D4"/>
    <w:rsid w:val="00981B8B"/>
    <w:rsid w:val="009853D8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9F08C3"/>
    <w:rsid w:val="00A11756"/>
    <w:rsid w:val="00A22B24"/>
    <w:rsid w:val="00A2683F"/>
    <w:rsid w:val="00A70EA8"/>
    <w:rsid w:val="00AE2E61"/>
    <w:rsid w:val="00AF2E89"/>
    <w:rsid w:val="00B236BD"/>
    <w:rsid w:val="00B415D4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1BE8"/>
    <w:rsid w:val="00C345DC"/>
    <w:rsid w:val="00C441A9"/>
    <w:rsid w:val="00C476C9"/>
    <w:rsid w:val="00C511CC"/>
    <w:rsid w:val="00C71CA7"/>
    <w:rsid w:val="00C7337A"/>
    <w:rsid w:val="00C84A93"/>
    <w:rsid w:val="00C94ACA"/>
    <w:rsid w:val="00C97D7E"/>
    <w:rsid w:val="00CB75A8"/>
    <w:rsid w:val="00CC0AD8"/>
    <w:rsid w:val="00CD0A93"/>
    <w:rsid w:val="00D14CB1"/>
    <w:rsid w:val="00D1655C"/>
    <w:rsid w:val="00DA3815"/>
    <w:rsid w:val="00DB192D"/>
    <w:rsid w:val="00DD439D"/>
    <w:rsid w:val="00E23C1B"/>
    <w:rsid w:val="00E53924"/>
    <w:rsid w:val="00EA4468"/>
    <w:rsid w:val="00EB0D7B"/>
    <w:rsid w:val="00ED38E1"/>
    <w:rsid w:val="00F11F8C"/>
    <w:rsid w:val="00F34060"/>
    <w:rsid w:val="00F3533A"/>
    <w:rsid w:val="00F62F27"/>
    <w:rsid w:val="00F63B9D"/>
    <w:rsid w:val="00F66496"/>
    <w:rsid w:val="00F74338"/>
    <w:rsid w:val="00F91777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effectLst/>
              </a:rPr>
              <a:t>Respiratory medications documentation Compliance within 2 hours from the administration time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Sheet1!$G$9</c:f>
              <c:strCache>
                <c:ptCount val="1"/>
                <c:pt idx="0">
                  <c:v>Timely Documentation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Sheet1!$F$10:$F$11</c:f>
              <c:strCache>
                <c:ptCount val="2"/>
                <c:pt idx="0">
                  <c:v>1Q 2017 data (Pre project implementation)</c:v>
                </c:pt>
                <c:pt idx="1">
                  <c:v>3Q 2017 data (Post project implementation)</c:v>
                </c:pt>
              </c:strCache>
            </c:strRef>
          </c:cat>
          <c:val>
            <c:numRef>
              <c:f>Sheet1!$G$10:$G$11</c:f>
              <c:numCache>
                <c:formatCode>0.0%</c:formatCode>
                <c:ptCount val="2"/>
                <c:pt idx="0" formatCode="0%">
                  <c:v>0.79</c:v>
                </c:pt>
                <c:pt idx="1">
                  <c:v>0.874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D-4376-BDED-CB585BF4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259136"/>
        <c:axId val="110249616"/>
      </c:barChart>
      <c:lineChart>
        <c:grouping val="standard"/>
        <c:varyColors val="0"/>
        <c:ser>
          <c:idx val="1"/>
          <c:order val="1"/>
          <c:tx>
            <c:strRef>
              <c:f>Sheet1!$H$9</c:f>
              <c:strCache>
                <c:ptCount val="1"/>
                <c:pt idx="0">
                  <c:v>Target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585638039786546E-2"/>
                  <c:y val="-3.7037037037037077E-2"/>
                </c:manualLayout>
              </c:layout>
              <c:tx>
                <c:rich>
                  <a:bodyPr/>
                  <a:lstStyle/>
                  <a:p>
                    <a:fld id="{E00F2A77-43A9-483E-A95E-9D985FF74EE5}" type="VALUE">
                      <a:rPr lang="en-US" sz="1000" b="1">
                        <a:solidFill>
                          <a:srgbClr val="FF0000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E4D-4376-BDED-CB585BF487F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4D-4376-BDED-CB585BF48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Sheet1!$F$10:$F$11</c:f>
              <c:strCache>
                <c:ptCount val="2"/>
                <c:pt idx="0">
                  <c:v>1Q 2017 data (Pre project implementation)</c:v>
                </c:pt>
                <c:pt idx="1">
                  <c:v>3Q 2017 data (Post project implementation)</c:v>
                </c:pt>
              </c:strCache>
            </c:strRef>
          </c:cat>
          <c:val>
            <c:numRef>
              <c:f>Sheet1!$H$10:$H$11</c:f>
              <c:numCache>
                <c:formatCode>0.0%</c:formatCode>
                <c:ptCount val="2"/>
                <c:pt idx="0">
                  <c:v>0.86899999999999999</c:v>
                </c:pt>
                <c:pt idx="1">
                  <c:v>0.86899999999999999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4D-4376-BDED-CB585BF4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259136"/>
        <c:axId val="110249616"/>
      </c:lineChart>
      <c:catAx>
        <c:axId val="1102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49616"/>
        <c:crosses val="autoZero"/>
        <c:auto val="1"/>
        <c:lblAlgn val="ctr"/>
        <c:lblOffset val="100"/>
        <c:noMultiLvlLbl val="0"/>
      </c:catAx>
      <c:valAx>
        <c:axId val="11024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5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116255593274455E-2"/>
          <c:y val="0.89409667541557303"/>
          <c:w val="0.84930833556360019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0.29049</cdr:x>
      <cdr:y>0.29645</cdr:y>
    </cdr:from>
    <cdr:to>
      <cdr:x>0.60612</cdr:x>
      <cdr:y>0.44344</cdr:y>
    </cdr:to>
    <cdr:sp macro="" textlink="">
      <cdr:nvSpPr>
        <cdr:cNvPr id="2" name="Text Box 2"/>
        <cdr:cNvSpPr txBox="1"/>
      </cdr:nvSpPr>
      <cdr:spPr>
        <a:xfrm xmlns:a="http://schemas.openxmlformats.org/drawingml/2006/main">
          <a:off x="1900886" y="840698"/>
          <a:ext cx="2065396" cy="4168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0"/>
            </a:spcAft>
          </a:pPr>
          <a:r>
            <a:rPr lang="en-US" sz="800" b="1">
              <a:solidFill>
                <a:srgbClr val="FF0000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(10 % increase from baseline)</a:t>
          </a:r>
          <a:endParaRPr lang="en-US" sz="1000">
            <a:solidFill>
              <a:srgbClr val="FF0000"/>
            </a:solidFill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73CD80BF36488BBAF985A94D29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A910-95CB-41C0-A269-086BCFF0BEC1}"/>
      </w:docPartPr>
      <w:docPartBody>
        <w:p w:rsidR="008D3CBA" w:rsidRDefault="000E53AB" w:rsidP="000E53AB">
          <w:pPr>
            <w:pStyle w:val="FB73CD80BF36488BBAF985A94D29A546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0B0B17"/>
    <w:rsid w:val="000E53AB"/>
    <w:rsid w:val="0013145F"/>
    <w:rsid w:val="003B298D"/>
    <w:rsid w:val="00426A00"/>
    <w:rsid w:val="004C412D"/>
    <w:rsid w:val="004D6A5F"/>
    <w:rsid w:val="006D67F3"/>
    <w:rsid w:val="006E08FF"/>
    <w:rsid w:val="007E62B5"/>
    <w:rsid w:val="008D3CBA"/>
    <w:rsid w:val="009367CE"/>
    <w:rsid w:val="009C63E1"/>
    <w:rsid w:val="009D7071"/>
    <w:rsid w:val="00AF04DC"/>
    <w:rsid w:val="00B254DF"/>
    <w:rsid w:val="00BC5EC8"/>
    <w:rsid w:val="00C253A4"/>
    <w:rsid w:val="00C465D8"/>
    <w:rsid w:val="00CA05C4"/>
    <w:rsid w:val="00CC3F6B"/>
    <w:rsid w:val="00CC6684"/>
    <w:rsid w:val="00D435EA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3AB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  <w:style w:type="paragraph" w:customStyle="1" w:styleId="FB73CD80BF36488BBAF985A94D29A546">
    <w:name w:val="FB73CD80BF36488BBAF985A94D29A546"/>
    <w:rsid w:val="000E53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F2E-3313-4B85-BD50-C471ADB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12</cp:revision>
  <cp:lastPrinted>2017-12-31T20:40:00Z</cp:lastPrinted>
  <dcterms:created xsi:type="dcterms:W3CDTF">2018-03-12T12:35:00Z</dcterms:created>
  <dcterms:modified xsi:type="dcterms:W3CDTF">2018-03-15T09:00:00Z</dcterms:modified>
</cp:coreProperties>
</file>