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3BBBB" w14:textId="77777777" w:rsidR="00B749DB" w:rsidRDefault="00B749DB" w:rsidP="00B749DB">
      <w:pPr>
        <w:rPr>
          <w:color w:val="000000" w:themeColor="text1"/>
          <w:sz w:val="20"/>
        </w:rPr>
      </w:pPr>
    </w:p>
    <w:p w14:paraId="4A85B585"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5408" behindDoc="1" locked="0" layoutInCell="1" allowOverlap="1" wp14:anchorId="4EAE7249" wp14:editId="156337F5">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6919F30"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AA1D37" w:themeColor="accent4"/>
          <w:sz w:val="32"/>
        </w:rPr>
      </w:pPr>
      <w:r w:rsidRPr="00581F4F">
        <w:rPr>
          <w:rFonts w:ascii="Gill Sans MT Condensed" w:hAnsi="Gill Sans MT Condensed"/>
          <w:color w:val="AA1D37" w:themeColor="accent4"/>
          <w:sz w:val="32"/>
        </w:rPr>
        <w:t xml:space="preserve">STRATEGIC PRIORITY </w:t>
      </w:r>
    </w:p>
    <w:p w14:paraId="1B94AF2F" w14:textId="4182431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821231019"/>
          <w:placeholder>
            <w:docPart w:val="EA8ED80BC991498787523AB3EAFE788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3. Improve efficiency and decision-making</w:t>
          </w:r>
        </w:sdtContent>
      </w:sdt>
      <w:r w:rsidRPr="00BE35DC">
        <w:rPr>
          <w:rFonts w:ascii="Arial Narrow" w:hAnsi="Arial Narrow"/>
          <w:color w:val="000000" w:themeColor="text1"/>
          <w:sz w:val="24"/>
          <w:szCs w:val="24"/>
        </w:rPr>
        <w:t xml:space="preserve">    </w:t>
      </w:r>
    </w:p>
    <w:p w14:paraId="32116123"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6432" behindDoc="0" locked="0" layoutInCell="1" allowOverlap="1" wp14:anchorId="1A6678E4" wp14:editId="68386FDC">
                <wp:simplePos x="0" y="0"/>
                <wp:positionH relativeFrom="column">
                  <wp:posOffset>-10633</wp:posOffset>
                </wp:positionH>
                <wp:positionV relativeFrom="paragraph">
                  <wp:posOffset>78873</wp:posOffset>
                </wp:positionV>
                <wp:extent cx="6753536" cy="34024"/>
                <wp:effectExtent l="0" t="0" r="28575" b="23495"/>
                <wp:wrapNone/>
                <wp:docPr id="23" name="Straight Connector 23"/>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4E8E39" id="Straight Connecto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EwdUB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5FC844FE"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C476C9" w:rsidRPr="00CD0A93" w14:paraId="5EB9E5CF" w14:textId="77777777" w:rsidTr="00704086">
        <w:trPr>
          <w:trHeight w:val="275"/>
        </w:trPr>
        <w:tc>
          <w:tcPr>
            <w:tcW w:w="10519" w:type="dxa"/>
            <w:gridSpan w:val="4"/>
            <w:shd w:val="clear" w:color="auto" w:fill="AA1D37" w:themeFill="accent4"/>
          </w:tcPr>
          <w:p w14:paraId="1035102A" w14:textId="77777777" w:rsidR="00C476C9" w:rsidRPr="00CD0A93" w:rsidRDefault="00C476C9" w:rsidP="00704086">
            <w:pPr>
              <w:rPr>
                <w:rFonts w:cs="Arial"/>
                <w:b/>
                <w:color w:val="FFFFFF" w:themeColor="background1"/>
                <w:sz w:val="20"/>
              </w:rPr>
            </w:pPr>
            <w:r>
              <w:rPr>
                <w:rFonts w:cs="Arial"/>
                <w:b/>
                <w:color w:val="FFFFFF" w:themeColor="background1"/>
                <w:sz w:val="20"/>
              </w:rPr>
              <w:t>Project Name</w:t>
            </w:r>
          </w:p>
        </w:tc>
      </w:tr>
      <w:tr w:rsidR="00C476C9" w:rsidRPr="00321654" w14:paraId="7A5410CE" w14:textId="77777777" w:rsidTr="00704086">
        <w:trPr>
          <w:trHeight w:val="432"/>
        </w:trPr>
        <w:tc>
          <w:tcPr>
            <w:tcW w:w="10519" w:type="dxa"/>
            <w:gridSpan w:val="4"/>
            <w:shd w:val="clear" w:color="auto" w:fill="auto"/>
          </w:tcPr>
          <w:p w14:paraId="5ABF6E9A" w14:textId="77777777" w:rsidR="00E73857" w:rsidRPr="00E73857" w:rsidRDefault="00E73857" w:rsidP="00E73857">
            <w:pPr>
              <w:rPr>
                <w:rFonts w:cs="Arial"/>
                <w:bCs/>
                <w:sz w:val="20"/>
                <w:szCs w:val="20"/>
                <w:lang w:val="en-US"/>
              </w:rPr>
            </w:pPr>
            <w:r w:rsidRPr="00E73857">
              <w:rPr>
                <w:rFonts w:cs="Arial"/>
                <w:bCs/>
                <w:sz w:val="20"/>
                <w:szCs w:val="20"/>
                <w:lang w:val="en-US"/>
              </w:rPr>
              <w:t>Enhance meetings actions communication and implementation</w:t>
            </w:r>
          </w:p>
          <w:p w14:paraId="1CB22C24" w14:textId="27E6C279" w:rsidR="00C476C9" w:rsidRPr="00E73857" w:rsidRDefault="00C476C9" w:rsidP="00704086">
            <w:pPr>
              <w:rPr>
                <w:rFonts w:cs="Arial"/>
                <w:bCs/>
                <w:color w:val="FFFFFF" w:themeColor="background1"/>
                <w:sz w:val="20"/>
                <w:szCs w:val="20"/>
                <w:lang w:val="en-US"/>
              </w:rPr>
            </w:pPr>
          </w:p>
        </w:tc>
      </w:tr>
      <w:tr w:rsidR="00B749DB" w:rsidRPr="00CD0A93" w14:paraId="40409BEB" w14:textId="77777777" w:rsidTr="00581F4F">
        <w:trPr>
          <w:trHeight w:val="275"/>
        </w:trPr>
        <w:tc>
          <w:tcPr>
            <w:tcW w:w="5258" w:type="dxa"/>
            <w:gridSpan w:val="2"/>
            <w:shd w:val="clear" w:color="auto" w:fill="AA1D37" w:themeFill="accent4"/>
          </w:tcPr>
          <w:p w14:paraId="5CE3AF24"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Site</w:t>
            </w:r>
          </w:p>
        </w:tc>
        <w:tc>
          <w:tcPr>
            <w:tcW w:w="5261" w:type="dxa"/>
            <w:gridSpan w:val="2"/>
            <w:shd w:val="clear" w:color="auto" w:fill="AA1D37" w:themeFill="accent4"/>
          </w:tcPr>
          <w:p w14:paraId="25C2E10E"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Department</w:t>
            </w:r>
          </w:p>
        </w:tc>
      </w:tr>
      <w:tr w:rsidR="00B749DB" w:rsidRPr="00CD0A93" w14:paraId="4CA12D17" w14:textId="77777777" w:rsidTr="00E212B0">
        <w:trPr>
          <w:trHeight w:val="275"/>
        </w:trPr>
        <w:sdt>
          <w:sdtPr>
            <w:rPr>
              <w:rFonts w:cs="Arial"/>
              <w:color w:val="000000" w:themeColor="text1"/>
              <w:sz w:val="20"/>
            </w:rPr>
            <w:alias w:val="Site"/>
            <w:tag w:val="Site"/>
            <w:id w:val="-2004505830"/>
            <w:placeholder>
              <w:docPart w:val="247D7E0C4C634AC2A74DA710C573D65D"/>
            </w:placeholder>
            <w15:color w:val="FFFFFF"/>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9AA6B4E" w14:textId="15D53A31" w:rsidR="00B749DB" w:rsidRPr="00321654" w:rsidRDefault="009C36CB" w:rsidP="00E212B0">
                <w:pPr>
                  <w:rPr>
                    <w:rFonts w:cs="Arial"/>
                    <w:color w:val="000000" w:themeColor="text1"/>
                    <w:sz w:val="20"/>
                  </w:rPr>
                </w:pPr>
                <w:r>
                  <w:rPr>
                    <w:rFonts w:cs="Arial"/>
                    <w:color w:val="000000" w:themeColor="text1"/>
                    <w:sz w:val="20"/>
                  </w:rPr>
                  <w:t>Riyadh</w:t>
                </w:r>
              </w:p>
            </w:tc>
          </w:sdtContent>
        </w:sdt>
        <w:sdt>
          <w:sdtPr>
            <w:rPr>
              <w:rFonts w:cs="Arial"/>
              <w:sz w:val="20"/>
              <w:szCs w:val="20"/>
              <w:lang w:val="en-US"/>
            </w:rPr>
            <w:alias w:val="Department"/>
            <w:tag w:val="Department"/>
            <w:id w:val="1500612917"/>
            <w:placeholder>
              <w:docPart w:val="6007E9E1FE0D4368B949A2BCD8478B59"/>
            </w:placeholder>
            <w15:color w:val="FFFFFF"/>
            <w:text w:multiLine="1"/>
          </w:sdtPr>
          <w:sdtEndPr/>
          <w:sdtContent>
            <w:tc>
              <w:tcPr>
                <w:tcW w:w="5261" w:type="dxa"/>
                <w:gridSpan w:val="2"/>
              </w:tcPr>
              <w:p w14:paraId="69E33626" w14:textId="04FEA222" w:rsidR="00B749DB" w:rsidRPr="00321654" w:rsidRDefault="00E73857" w:rsidP="00301903">
                <w:pPr>
                  <w:rPr>
                    <w:rFonts w:cs="Arial"/>
                    <w:color w:val="000000" w:themeColor="text1"/>
                    <w:sz w:val="20"/>
                  </w:rPr>
                </w:pPr>
                <w:r w:rsidRPr="00BA6A43">
                  <w:rPr>
                    <w:rFonts w:cs="Arial"/>
                    <w:sz w:val="20"/>
                    <w:szCs w:val="20"/>
                    <w:lang w:val="en-US"/>
                  </w:rPr>
                  <w:t>Total Quality Management –TQM</w:t>
                </w:r>
              </w:p>
            </w:tc>
          </w:sdtContent>
        </w:sdt>
      </w:tr>
      <w:tr w:rsidR="00B749DB" w:rsidRPr="00CD0A93" w14:paraId="17DF1766" w14:textId="77777777" w:rsidTr="00E212B0">
        <w:trPr>
          <w:trHeight w:val="144"/>
        </w:trPr>
        <w:tc>
          <w:tcPr>
            <w:tcW w:w="10519" w:type="dxa"/>
            <w:gridSpan w:val="4"/>
          </w:tcPr>
          <w:p w14:paraId="5E4BAAAA" w14:textId="77777777" w:rsidR="00B749DB" w:rsidRPr="00CD0A93" w:rsidRDefault="00B749DB" w:rsidP="00E212B0">
            <w:pPr>
              <w:rPr>
                <w:rFonts w:cs="Arial"/>
                <w:sz w:val="8"/>
              </w:rPr>
            </w:pPr>
          </w:p>
        </w:tc>
      </w:tr>
      <w:tr w:rsidR="00B749DB" w:rsidRPr="00CD0A93" w14:paraId="55D9B076" w14:textId="77777777" w:rsidTr="00581F4F">
        <w:trPr>
          <w:trHeight w:val="282"/>
        </w:trPr>
        <w:tc>
          <w:tcPr>
            <w:tcW w:w="3505" w:type="dxa"/>
            <w:shd w:val="clear" w:color="auto" w:fill="AA1D37" w:themeFill="accent4"/>
          </w:tcPr>
          <w:p w14:paraId="64915D26"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Project Status</w:t>
            </w:r>
          </w:p>
        </w:tc>
        <w:tc>
          <w:tcPr>
            <w:tcW w:w="3505" w:type="dxa"/>
            <w:gridSpan w:val="2"/>
            <w:shd w:val="clear" w:color="auto" w:fill="AA1D37" w:themeFill="accent4"/>
          </w:tcPr>
          <w:p w14:paraId="37AF6461"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Project Start Date</w:t>
            </w:r>
          </w:p>
        </w:tc>
        <w:tc>
          <w:tcPr>
            <w:tcW w:w="3509" w:type="dxa"/>
            <w:shd w:val="clear" w:color="auto" w:fill="AA1D37" w:themeFill="accent4"/>
          </w:tcPr>
          <w:p w14:paraId="5EAAB474"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 xml:space="preserve">Project End Date </w:t>
            </w:r>
          </w:p>
        </w:tc>
      </w:tr>
      <w:tr w:rsidR="00B749DB" w:rsidRPr="00CD0A93" w14:paraId="7D76FCCB" w14:textId="77777777" w:rsidTr="00E212B0">
        <w:trPr>
          <w:trHeight w:val="282"/>
        </w:trPr>
        <w:sdt>
          <w:sdtPr>
            <w:rPr>
              <w:rFonts w:cs="Arial"/>
              <w:color w:val="000000" w:themeColor="text1"/>
              <w:sz w:val="20"/>
            </w:rPr>
            <w:alias w:val="Project Status"/>
            <w:tag w:val="Project Status"/>
            <w:id w:val="411370210"/>
            <w:placeholder>
              <w:docPart w:val="7AE122A2FA554CE499C47993957D33B4"/>
            </w:placeholder>
            <w15:color w:val="FFFFFF"/>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1B539568" w14:textId="699027FC" w:rsidR="00B749DB" w:rsidRPr="00321654" w:rsidRDefault="008E400D"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583078647"/>
            <w:placeholder>
              <w:docPart w:val="A6D9AA506F154435A3CECC4CED4F6AB0"/>
            </w:placeholder>
            <w15:color w:val="FFFFFF"/>
            <w:date w:fullDate="2017-01-01T00:00:00Z">
              <w:dateFormat w:val="MM-DD-YYYY"/>
              <w:lid w:val="en-CA"/>
              <w:storeMappedDataAs w:val="dateTime"/>
              <w:calendar w:val="gregorian"/>
            </w:date>
          </w:sdtPr>
          <w:sdtEndPr/>
          <w:sdtContent>
            <w:tc>
              <w:tcPr>
                <w:tcW w:w="3505" w:type="dxa"/>
                <w:gridSpan w:val="2"/>
              </w:tcPr>
              <w:p w14:paraId="709777E4" w14:textId="50D8AF00" w:rsidR="00B749DB" w:rsidRPr="00321654" w:rsidRDefault="00E73857" w:rsidP="00E73857">
                <w:pPr>
                  <w:rPr>
                    <w:rFonts w:cs="Arial"/>
                    <w:color w:val="000000" w:themeColor="text1"/>
                    <w:sz w:val="20"/>
                  </w:rPr>
                </w:pPr>
                <w:r>
                  <w:rPr>
                    <w:rFonts w:cs="Arial"/>
                    <w:color w:val="000000" w:themeColor="text1"/>
                    <w:sz w:val="20"/>
                  </w:rPr>
                  <w:t>01-01-2017</w:t>
                </w:r>
              </w:p>
            </w:tc>
          </w:sdtContent>
        </w:sdt>
        <w:sdt>
          <w:sdtPr>
            <w:rPr>
              <w:rFonts w:cs="Arial"/>
              <w:color w:val="000000" w:themeColor="text1"/>
              <w:sz w:val="20"/>
            </w:rPr>
            <w:alias w:val="End"/>
            <w:tag w:val="End"/>
            <w:id w:val="-794062690"/>
            <w:placeholder>
              <w:docPart w:val="B59BA503D13F4DDEB787B45EE66127B2"/>
            </w:placeholder>
            <w15:color w:val="FFFFFF"/>
            <w:date w:fullDate="2017-09-28T00:00:00Z">
              <w:dateFormat w:val="MM-DD-YYYY"/>
              <w:lid w:val="en-CA"/>
              <w:storeMappedDataAs w:val="dateTime"/>
              <w:calendar w:val="gregorian"/>
            </w:date>
          </w:sdtPr>
          <w:sdtEndPr/>
          <w:sdtContent>
            <w:tc>
              <w:tcPr>
                <w:tcW w:w="3509" w:type="dxa"/>
              </w:tcPr>
              <w:p w14:paraId="7DDF601C" w14:textId="75A92C40" w:rsidR="00B749DB" w:rsidRPr="00321654" w:rsidRDefault="00E73857" w:rsidP="00E73857">
                <w:pPr>
                  <w:rPr>
                    <w:rFonts w:cs="Arial"/>
                    <w:color w:val="000000" w:themeColor="text1"/>
                    <w:sz w:val="20"/>
                  </w:rPr>
                </w:pPr>
                <w:r>
                  <w:rPr>
                    <w:rFonts w:cs="Arial"/>
                    <w:color w:val="000000" w:themeColor="text1"/>
                    <w:sz w:val="20"/>
                  </w:rPr>
                  <w:t>09-28-2017</w:t>
                </w:r>
              </w:p>
            </w:tc>
          </w:sdtContent>
        </w:sdt>
      </w:tr>
    </w:tbl>
    <w:p w14:paraId="58CCE3DE"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4538C87D" w14:textId="77777777" w:rsidTr="00E212B0">
        <w:trPr>
          <w:trHeight w:val="226"/>
        </w:trPr>
        <w:tc>
          <w:tcPr>
            <w:tcW w:w="5256" w:type="dxa"/>
            <w:shd w:val="clear" w:color="auto" w:fill="auto"/>
          </w:tcPr>
          <w:p w14:paraId="474E99AF" w14:textId="77777777" w:rsidR="00B749DB" w:rsidRPr="0037000B" w:rsidRDefault="00B749DB" w:rsidP="00E212B0">
            <w:pPr>
              <w:rPr>
                <w:rFonts w:cs="Arial"/>
                <w:color w:val="000000" w:themeColor="text1"/>
                <w:sz w:val="20"/>
                <w:szCs w:val="20"/>
              </w:rPr>
            </w:pPr>
            <w:r w:rsidRPr="00581F4F">
              <w:rPr>
                <w:rFonts w:cs="Arial"/>
                <w:b/>
                <w:color w:val="AA1D37" w:themeColor="accent4"/>
                <w:sz w:val="20"/>
                <w:szCs w:val="20"/>
              </w:rPr>
              <w:t>Problem:</w:t>
            </w:r>
            <w:r w:rsidRPr="00581F4F">
              <w:rPr>
                <w:rFonts w:cs="Arial"/>
                <w:color w:val="AA1D37" w:themeColor="accent4"/>
                <w:sz w:val="20"/>
                <w:szCs w:val="20"/>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p w14:paraId="27E978ED" w14:textId="77777777" w:rsidR="00C454A6" w:rsidRDefault="00C454A6" w:rsidP="001E5C5B">
            <w:pPr>
              <w:autoSpaceDE w:val="0"/>
              <w:autoSpaceDN w:val="0"/>
              <w:adjustRightInd w:val="0"/>
              <w:rPr>
                <w:rFonts w:cs="Arial"/>
                <w:sz w:val="20"/>
                <w:szCs w:val="20"/>
                <w:lang w:val="en-US"/>
              </w:rPr>
            </w:pPr>
          </w:p>
          <w:p w14:paraId="779B31BC" w14:textId="391F4542" w:rsidR="001E5C5B" w:rsidRDefault="009D2E9B" w:rsidP="00A67F37">
            <w:pPr>
              <w:autoSpaceDE w:val="0"/>
              <w:autoSpaceDN w:val="0"/>
              <w:adjustRightInd w:val="0"/>
              <w:rPr>
                <w:rFonts w:cs="Arial"/>
                <w:sz w:val="20"/>
                <w:szCs w:val="20"/>
                <w:lang w:val="en-US"/>
              </w:rPr>
            </w:pPr>
            <w:r>
              <w:rPr>
                <w:rFonts w:cs="Arial"/>
                <w:sz w:val="20"/>
                <w:szCs w:val="20"/>
                <w:lang w:val="en-US"/>
              </w:rPr>
              <w:t xml:space="preserve">Recently, </w:t>
            </w:r>
            <w:r w:rsidR="001E5C5B" w:rsidRPr="001E5C5B">
              <w:rPr>
                <w:rFonts w:cs="Arial"/>
                <w:sz w:val="20"/>
                <w:szCs w:val="20"/>
                <w:lang w:val="en-US"/>
              </w:rPr>
              <w:t>Corporate</w:t>
            </w:r>
            <w:r w:rsidR="001E5C5B">
              <w:rPr>
                <w:rFonts w:cs="Arial"/>
                <w:sz w:val="20"/>
                <w:szCs w:val="20"/>
                <w:lang w:val="en-US"/>
              </w:rPr>
              <w:t xml:space="preserve"> </w:t>
            </w:r>
            <w:r w:rsidR="001E5C5B" w:rsidRPr="001E5C5B">
              <w:rPr>
                <w:rFonts w:cs="Arial"/>
                <w:sz w:val="20"/>
                <w:szCs w:val="20"/>
                <w:lang w:val="en-US"/>
              </w:rPr>
              <w:t>P</w:t>
            </w:r>
            <w:r w:rsidR="001E5C5B">
              <w:rPr>
                <w:rFonts w:cs="Arial"/>
                <w:sz w:val="20"/>
                <w:szCs w:val="20"/>
                <w:lang w:val="en-US"/>
              </w:rPr>
              <w:t xml:space="preserve">erformance </w:t>
            </w:r>
            <w:r w:rsidR="001E5C5B" w:rsidRPr="001E5C5B">
              <w:rPr>
                <w:rFonts w:cs="Arial"/>
                <w:sz w:val="20"/>
                <w:szCs w:val="20"/>
                <w:lang w:val="en-US"/>
              </w:rPr>
              <w:t>I</w:t>
            </w:r>
            <w:r w:rsidR="001E5C5B">
              <w:rPr>
                <w:rFonts w:cs="Arial"/>
                <w:sz w:val="20"/>
                <w:szCs w:val="20"/>
                <w:lang w:val="en-US"/>
              </w:rPr>
              <w:t>mprovement</w:t>
            </w:r>
            <w:r w:rsidR="001E5C5B" w:rsidRPr="001E5C5B">
              <w:rPr>
                <w:rFonts w:cs="Arial"/>
                <w:sz w:val="20"/>
                <w:szCs w:val="20"/>
                <w:lang w:val="en-US"/>
              </w:rPr>
              <w:t xml:space="preserve"> Council </w:t>
            </w:r>
            <w:r w:rsidR="001E5C5B">
              <w:rPr>
                <w:rFonts w:cs="Arial"/>
                <w:sz w:val="20"/>
                <w:szCs w:val="20"/>
                <w:lang w:val="en-US"/>
              </w:rPr>
              <w:t>(CPIC) minutes and action memos were delayed from the time of meeting. Moreover, actions are not completed on time and were carried on to multiple meetings. Therefore, this project was selected to enhance meetings</w:t>
            </w:r>
            <w:r w:rsidR="00A67F37">
              <w:rPr>
                <w:rFonts w:cs="Arial"/>
                <w:sz w:val="20"/>
                <w:szCs w:val="20"/>
                <w:lang w:val="en-US"/>
              </w:rPr>
              <w:t>’</w:t>
            </w:r>
            <w:r w:rsidR="001E5C5B">
              <w:rPr>
                <w:rFonts w:cs="Arial"/>
                <w:sz w:val="20"/>
                <w:szCs w:val="20"/>
                <w:lang w:val="en-US"/>
              </w:rPr>
              <w:t xml:space="preserve"> </w:t>
            </w:r>
            <w:r w:rsidR="00A67F37">
              <w:rPr>
                <w:rFonts w:cs="Arial"/>
                <w:sz w:val="20"/>
                <w:szCs w:val="20"/>
                <w:lang w:val="en-US"/>
              </w:rPr>
              <w:t xml:space="preserve">follow-up </w:t>
            </w:r>
            <w:r w:rsidR="001E5C5B">
              <w:rPr>
                <w:rFonts w:cs="Arial"/>
                <w:sz w:val="20"/>
                <w:szCs w:val="20"/>
                <w:lang w:val="en-US"/>
              </w:rPr>
              <w:t>actions communication and implementation.</w:t>
            </w:r>
          </w:p>
          <w:p w14:paraId="550391E2" w14:textId="6B50F687" w:rsidR="00B749DB" w:rsidRPr="001E5C5B" w:rsidRDefault="00B749DB" w:rsidP="001E5C5B">
            <w:pPr>
              <w:rPr>
                <w:rFonts w:cs="Arial"/>
                <w:sz w:val="20"/>
                <w:szCs w:val="20"/>
                <w:lang w:val="en-US"/>
              </w:rPr>
            </w:pPr>
          </w:p>
        </w:tc>
        <w:tc>
          <w:tcPr>
            <w:tcW w:w="5256" w:type="dxa"/>
            <w:shd w:val="clear" w:color="auto" w:fill="auto"/>
          </w:tcPr>
          <w:p w14:paraId="6F8F5EE5" w14:textId="28B2BC4B" w:rsidR="00B749DB" w:rsidRDefault="00B749DB" w:rsidP="00E212B0">
            <w:pPr>
              <w:rPr>
                <w:rFonts w:cs="Arial"/>
                <w:color w:val="7F7F7F" w:themeColor="text2"/>
                <w:sz w:val="20"/>
                <w:szCs w:val="20"/>
              </w:rPr>
            </w:pPr>
            <w:r w:rsidRPr="00581F4F">
              <w:rPr>
                <w:rFonts w:cs="Arial"/>
                <w:b/>
                <w:color w:val="AA1D37" w:themeColor="accent4"/>
                <w:sz w:val="20"/>
              </w:rPr>
              <w:t xml:space="preserve">Aims: </w:t>
            </w:r>
            <w:r w:rsidRPr="0037000B">
              <w:rPr>
                <w:rFonts w:cs="Arial"/>
                <w:color w:val="7F7F7F" w:themeColor="text2"/>
                <w:sz w:val="20"/>
                <w:szCs w:val="20"/>
              </w:rPr>
              <w:t>What will the project achieve?</w:t>
            </w:r>
          </w:p>
          <w:p w14:paraId="6BEE59A4" w14:textId="77777777" w:rsidR="00C454A6" w:rsidRPr="004910B3" w:rsidRDefault="00C454A6" w:rsidP="00E212B0">
            <w:pPr>
              <w:rPr>
                <w:rFonts w:cs="Arial"/>
                <w:color w:val="000000" w:themeColor="text1"/>
                <w:sz w:val="20"/>
                <w:szCs w:val="20"/>
              </w:rPr>
            </w:pPr>
          </w:p>
          <w:p w14:paraId="126ADD26" w14:textId="715451B3" w:rsidR="00C454A6" w:rsidRDefault="00C454A6" w:rsidP="00C454A6">
            <w:pPr>
              <w:pStyle w:val="ListParagraph"/>
              <w:numPr>
                <w:ilvl w:val="0"/>
                <w:numId w:val="34"/>
              </w:numPr>
              <w:rPr>
                <w:rFonts w:cs="Arial"/>
                <w:sz w:val="20"/>
                <w:szCs w:val="20"/>
                <w:lang w:val="en-US"/>
              </w:rPr>
            </w:pPr>
            <w:r w:rsidRPr="00C454A6">
              <w:rPr>
                <w:rFonts w:cs="Arial"/>
                <w:sz w:val="20"/>
                <w:szCs w:val="20"/>
                <w:lang w:val="en-US"/>
              </w:rPr>
              <w:t xml:space="preserve">To ensure that </w:t>
            </w:r>
            <w:r w:rsidR="007742D1">
              <w:rPr>
                <w:rFonts w:cs="Arial"/>
                <w:sz w:val="20"/>
                <w:szCs w:val="20"/>
                <w:lang w:val="en-US"/>
              </w:rPr>
              <w:t>at least 7</w:t>
            </w:r>
            <w:r w:rsidRPr="00C454A6">
              <w:rPr>
                <w:rFonts w:cs="Arial"/>
                <w:sz w:val="20"/>
                <w:szCs w:val="20"/>
                <w:lang w:val="en-US"/>
              </w:rPr>
              <w:t xml:space="preserve">0% of action based minutes </w:t>
            </w:r>
            <w:r w:rsidR="00A67F37">
              <w:rPr>
                <w:rFonts w:cs="Arial"/>
                <w:sz w:val="20"/>
                <w:szCs w:val="20"/>
                <w:lang w:val="en-US"/>
              </w:rPr>
              <w:t xml:space="preserve">are </w:t>
            </w:r>
            <w:r w:rsidRPr="00C454A6">
              <w:rPr>
                <w:rFonts w:cs="Arial"/>
                <w:sz w:val="20"/>
                <w:szCs w:val="20"/>
                <w:lang w:val="en-US"/>
              </w:rPr>
              <w:t>finalized and disseminated within 24 hours</w:t>
            </w:r>
            <w:r>
              <w:rPr>
                <w:rFonts w:cs="Arial"/>
                <w:sz w:val="20"/>
                <w:szCs w:val="20"/>
                <w:lang w:val="en-US"/>
              </w:rPr>
              <w:t>.</w:t>
            </w:r>
          </w:p>
          <w:p w14:paraId="1817DD14" w14:textId="77777777" w:rsidR="00C454A6" w:rsidRDefault="00C454A6" w:rsidP="00C454A6">
            <w:pPr>
              <w:pStyle w:val="ListParagraph"/>
              <w:ind w:left="360"/>
              <w:rPr>
                <w:rFonts w:cs="Arial"/>
                <w:sz w:val="20"/>
                <w:szCs w:val="20"/>
                <w:lang w:val="en-US"/>
              </w:rPr>
            </w:pPr>
          </w:p>
          <w:p w14:paraId="0EF0C16A" w14:textId="09B01D22" w:rsidR="00B749DB" w:rsidRPr="00C454A6" w:rsidRDefault="00C454A6" w:rsidP="00A67F37">
            <w:pPr>
              <w:pStyle w:val="ListParagraph"/>
              <w:numPr>
                <w:ilvl w:val="0"/>
                <w:numId w:val="34"/>
              </w:numPr>
              <w:rPr>
                <w:rFonts w:cs="Arial"/>
                <w:sz w:val="20"/>
                <w:szCs w:val="20"/>
                <w:lang w:val="en-US"/>
              </w:rPr>
            </w:pPr>
            <w:r w:rsidRPr="00C454A6">
              <w:rPr>
                <w:rFonts w:cs="Arial"/>
                <w:color w:val="000000" w:themeColor="text1"/>
                <w:sz w:val="20"/>
                <w:lang w:val="en-US"/>
              </w:rPr>
              <w:t xml:space="preserve">To </w:t>
            </w:r>
            <w:r w:rsidR="00A67F37">
              <w:rPr>
                <w:rFonts w:cs="Arial"/>
                <w:color w:val="000000" w:themeColor="text1"/>
                <w:sz w:val="20"/>
                <w:lang w:val="en-US"/>
              </w:rPr>
              <w:t>timely complete at least 30%</w:t>
            </w:r>
            <w:r w:rsidRPr="00C454A6">
              <w:rPr>
                <w:rFonts w:cs="Arial"/>
                <w:color w:val="000000" w:themeColor="text1"/>
                <w:sz w:val="20"/>
                <w:lang w:val="en-US"/>
              </w:rPr>
              <w:t xml:space="preserve"> of Corporate PI Council meeting s' actions within 6 months</w:t>
            </w:r>
            <w:r w:rsidR="00A67F37">
              <w:rPr>
                <w:rFonts w:cs="Arial"/>
                <w:color w:val="000000" w:themeColor="text1"/>
                <w:sz w:val="20"/>
                <w:lang w:val="en-US"/>
              </w:rPr>
              <w:t xml:space="preserve"> from project’s implementation</w:t>
            </w:r>
            <w:r w:rsidRPr="00C454A6">
              <w:rPr>
                <w:rFonts w:cs="Arial"/>
                <w:color w:val="000000" w:themeColor="text1"/>
                <w:sz w:val="20"/>
                <w:lang w:val="en-US"/>
              </w:rPr>
              <w:t>.</w:t>
            </w:r>
          </w:p>
        </w:tc>
      </w:tr>
      <w:tr w:rsidR="00B749DB" w:rsidRPr="00CD0A93" w14:paraId="345BF90B" w14:textId="77777777" w:rsidTr="00E212B0">
        <w:trPr>
          <w:trHeight w:val="226"/>
        </w:trPr>
        <w:tc>
          <w:tcPr>
            <w:tcW w:w="5256" w:type="dxa"/>
            <w:shd w:val="clear" w:color="auto" w:fill="auto"/>
          </w:tcPr>
          <w:p w14:paraId="2E703A1B" w14:textId="77777777" w:rsidR="00B749DB" w:rsidRDefault="00B749DB" w:rsidP="00E212B0">
            <w:pPr>
              <w:rPr>
                <w:rFonts w:cs="Arial"/>
                <w:color w:val="7F7F7F" w:themeColor="text2"/>
                <w:sz w:val="20"/>
                <w:szCs w:val="20"/>
              </w:rPr>
            </w:pPr>
            <w:r w:rsidRPr="00581F4F">
              <w:rPr>
                <w:rFonts w:cs="Arial"/>
                <w:b/>
                <w:color w:val="AA1D37" w:themeColor="accent4"/>
                <w:sz w:val="20"/>
              </w:rPr>
              <w:t xml:space="preserve">Benefits/Impact: </w:t>
            </w:r>
            <w:r w:rsidRPr="0037000B">
              <w:rPr>
                <w:rFonts w:cs="Arial"/>
                <w:color w:val="7F7F7F" w:themeColor="text2"/>
                <w:sz w:val="20"/>
                <w:szCs w:val="20"/>
              </w:rPr>
              <w:t>What is the improvement outcome?</w:t>
            </w:r>
          </w:p>
          <w:p w14:paraId="2271D75B" w14:textId="71895535" w:rsidR="00B749DB" w:rsidRDefault="00B749DB" w:rsidP="00E212B0">
            <w:pPr>
              <w:rPr>
                <w:rFonts w:cs="Arial"/>
                <w:i/>
                <w:color w:val="7F7F7F" w:themeColor="text2"/>
                <w:sz w:val="16"/>
              </w:rPr>
            </w:pPr>
            <w:r>
              <w:rPr>
                <w:rFonts w:cs="Arial"/>
                <w:i/>
                <w:color w:val="7F7F7F" w:themeColor="text2"/>
                <w:sz w:val="16"/>
              </w:rPr>
              <w:t>(check all that apply</w:t>
            </w:r>
            <w:r w:rsidRPr="00CD0A93">
              <w:rPr>
                <w:rFonts w:cs="Arial"/>
                <w:i/>
                <w:color w:val="7F7F7F" w:themeColor="text2"/>
                <w:sz w:val="16"/>
              </w:rPr>
              <w:t>)</w:t>
            </w:r>
          </w:p>
          <w:p w14:paraId="3C96D60E" w14:textId="77777777" w:rsidR="00A67F37" w:rsidRPr="0037000B" w:rsidRDefault="00A67F37" w:rsidP="00E212B0">
            <w:pPr>
              <w:rPr>
                <w:rFonts w:cs="Arial"/>
                <w:b/>
                <w:color w:val="00A3E4" w:themeColor="accent2"/>
                <w:sz w:val="20"/>
              </w:rPr>
            </w:pPr>
          </w:p>
          <w:p w14:paraId="045F84B8" w14:textId="77777777" w:rsidR="00B749DB" w:rsidRPr="0037000B" w:rsidRDefault="00366F64" w:rsidP="00E212B0">
            <w:pPr>
              <w:rPr>
                <w:rFonts w:cs="Arial"/>
                <w:sz w:val="20"/>
              </w:rPr>
            </w:pPr>
            <w:sdt>
              <w:sdtPr>
                <w:rPr>
                  <w:rFonts w:cs="Arial"/>
                  <w:sz w:val="20"/>
                </w:rPr>
                <w:alias w:val="Benefits"/>
                <w:tag w:val="Benefits"/>
                <w:id w:val="-443146184"/>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Contained or reduced cost</w:t>
            </w:r>
            <w:r w:rsidR="00B749DB">
              <w:rPr>
                <w:rFonts w:cs="Arial"/>
                <w:sz w:val="20"/>
              </w:rPr>
              <w:t>s</w:t>
            </w:r>
          </w:p>
          <w:p w14:paraId="5F734555" w14:textId="29E7A982" w:rsidR="00B749DB" w:rsidRPr="0037000B" w:rsidRDefault="00366F64" w:rsidP="00E212B0">
            <w:pPr>
              <w:rPr>
                <w:rFonts w:cs="Arial"/>
                <w:sz w:val="20"/>
              </w:rPr>
            </w:pPr>
            <w:sdt>
              <w:sdtPr>
                <w:rPr>
                  <w:rFonts w:cs="Arial"/>
                  <w:sz w:val="20"/>
                </w:rPr>
                <w:alias w:val="Benefits"/>
                <w:tag w:val="Benefits"/>
                <w:id w:val="1642229683"/>
                <w15:color w:val="FFFFFF"/>
                <w14:checkbox>
                  <w14:checked w14:val="0"/>
                  <w14:checkedState w14:val="2612" w14:font="MS Gothic"/>
                  <w14:uncheckedState w14:val="2610" w14:font="MS Gothic"/>
                </w14:checkbox>
              </w:sdtPr>
              <w:sdtEndPr/>
              <w:sdtContent>
                <w:r w:rsidR="008E49C2">
                  <w:rPr>
                    <w:rFonts w:ascii="MS Gothic" w:eastAsia="MS Gothic" w:hAnsi="MS Gothic" w:cs="Arial" w:hint="eastAsia"/>
                    <w:sz w:val="20"/>
                  </w:rPr>
                  <w:t>☐</w:t>
                </w:r>
              </w:sdtContent>
            </w:sdt>
            <w:r w:rsidR="00B749DB" w:rsidRPr="0037000B">
              <w:rPr>
                <w:rFonts w:cs="Arial"/>
                <w:sz w:val="20"/>
              </w:rPr>
              <w:t xml:space="preserve">  Improved productivity</w:t>
            </w:r>
          </w:p>
          <w:p w14:paraId="6437BA73" w14:textId="6D29DBDD" w:rsidR="00B749DB" w:rsidRPr="0037000B" w:rsidRDefault="00366F64" w:rsidP="00E212B0">
            <w:pPr>
              <w:rPr>
                <w:rFonts w:cs="Arial"/>
                <w:sz w:val="20"/>
              </w:rPr>
            </w:pPr>
            <w:sdt>
              <w:sdtPr>
                <w:rPr>
                  <w:rFonts w:cs="Arial"/>
                  <w:sz w:val="20"/>
                </w:rPr>
                <w:alias w:val="Benefits"/>
                <w:tag w:val="Benefits"/>
                <w:id w:val="1999308230"/>
                <w15:color w:val="FFFFFF"/>
                <w14:checkbox>
                  <w14:checked w14:val="1"/>
                  <w14:checkedState w14:val="2612" w14:font="MS Gothic"/>
                  <w14:uncheckedState w14:val="2610" w14:font="MS Gothic"/>
                </w14:checkbox>
              </w:sdtPr>
              <w:sdtEndPr/>
              <w:sdtContent>
                <w:r w:rsidR="00C476C9">
                  <w:rPr>
                    <w:rFonts w:ascii="MS Gothic" w:eastAsia="MS Gothic" w:hAnsi="MS Gothic" w:cs="Arial" w:hint="eastAsia"/>
                    <w:sz w:val="20"/>
                  </w:rPr>
                  <w:t>☒</w:t>
                </w:r>
              </w:sdtContent>
            </w:sdt>
            <w:r w:rsidR="00B749DB" w:rsidRPr="0037000B">
              <w:rPr>
                <w:rFonts w:cs="Arial"/>
                <w:sz w:val="20"/>
              </w:rPr>
              <w:t xml:space="preserve">  Improved work process</w:t>
            </w:r>
          </w:p>
          <w:p w14:paraId="48F8AF2F" w14:textId="77777777" w:rsidR="00B749DB" w:rsidRPr="0037000B" w:rsidRDefault="00366F64" w:rsidP="00E212B0">
            <w:pPr>
              <w:rPr>
                <w:rFonts w:cs="Arial"/>
                <w:sz w:val="20"/>
              </w:rPr>
            </w:pPr>
            <w:sdt>
              <w:sdtPr>
                <w:rPr>
                  <w:rFonts w:cs="Arial"/>
                  <w:sz w:val="20"/>
                </w:rPr>
                <w:alias w:val="Benefits"/>
                <w:tag w:val="Benefits"/>
                <w:id w:val="-1092387478"/>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cycle time</w:t>
            </w:r>
          </w:p>
          <w:p w14:paraId="07657D03" w14:textId="77777777" w:rsidR="00B749DB" w:rsidRPr="0037000B" w:rsidRDefault="00366F64" w:rsidP="00E212B0">
            <w:pPr>
              <w:rPr>
                <w:rFonts w:cs="Arial"/>
                <w:sz w:val="20"/>
              </w:rPr>
            </w:pPr>
            <w:sdt>
              <w:sdtPr>
                <w:rPr>
                  <w:rFonts w:cs="Arial"/>
                  <w:sz w:val="20"/>
                </w:rPr>
                <w:alias w:val="Benefits"/>
                <w:tag w:val="Benefits"/>
                <w:id w:val="-1739311451"/>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Increased customer satisfaction</w:t>
            </w:r>
          </w:p>
          <w:p w14:paraId="5B7994E2" w14:textId="77777777" w:rsidR="00B749DB" w:rsidRPr="0037000B" w:rsidRDefault="00366F64" w:rsidP="00E212B0">
            <w:pPr>
              <w:rPr>
                <w:rFonts w:cs="Arial"/>
                <w:color w:val="000000" w:themeColor="text1"/>
                <w:sz w:val="20"/>
                <w:szCs w:val="20"/>
              </w:rPr>
            </w:pPr>
            <w:sdt>
              <w:sdtPr>
                <w:rPr>
                  <w:rFonts w:cs="Arial"/>
                  <w:sz w:val="20"/>
                </w:rPr>
                <w:alias w:val="Benefits"/>
                <w:tag w:val="Benefits"/>
                <w:id w:val="-1373766485"/>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251962A"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982076408"/>
                <w:placeholder>
                  <w:docPart w:val="1CB3D243DB094DA4B385F171D6AEE5F2"/>
                </w:placeholder>
                <w:showingPlcHdr/>
                <w15:appearance w15:val="hidden"/>
              </w:sdtPr>
              <w:sdtEndPr/>
              <w:sdtContent>
                <w:r w:rsidRPr="0037000B">
                  <w:rPr>
                    <w:rStyle w:val="PlaceholderText"/>
                    <w:rFonts w:cs="Arial"/>
                    <w:color w:val="000000" w:themeColor="text1"/>
                    <w:sz w:val="20"/>
                    <w:szCs w:val="20"/>
                  </w:rPr>
                  <w:t>Click or tap here to enter text.</w:t>
                </w:r>
              </w:sdtContent>
            </w:sdt>
          </w:p>
          <w:p w14:paraId="6EFAB0F5" w14:textId="77777777" w:rsidR="00B749DB" w:rsidRPr="00000E88" w:rsidRDefault="00B749DB" w:rsidP="00E212B0">
            <w:pPr>
              <w:rPr>
                <w:rFonts w:cs="Arial"/>
                <w:b/>
                <w:color w:val="00A3E4" w:themeColor="accent2"/>
                <w:sz w:val="20"/>
              </w:rPr>
            </w:pPr>
          </w:p>
        </w:tc>
        <w:tc>
          <w:tcPr>
            <w:tcW w:w="5256" w:type="dxa"/>
            <w:shd w:val="clear" w:color="auto" w:fill="auto"/>
          </w:tcPr>
          <w:p w14:paraId="22638FD5" w14:textId="77777777" w:rsidR="00B749DB" w:rsidRDefault="00B749DB" w:rsidP="00E212B0">
            <w:pPr>
              <w:rPr>
                <w:rFonts w:cs="Arial"/>
                <w:color w:val="7F7F7F" w:themeColor="text2"/>
                <w:sz w:val="20"/>
                <w:szCs w:val="20"/>
              </w:rPr>
            </w:pPr>
            <w:r w:rsidRPr="00581F4F">
              <w:rPr>
                <w:rFonts w:cs="Arial"/>
                <w:b/>
                <w:color w:val="AA1D37" w:themeColor="accent4"/>
                <w:sz w:val="20"/>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0919659" w14:textId="4ACF2568" w:rsidR="00B749DB" w:rsidRDefault="00B749DB" w:rsidP="00E212B0">
            <w:pPr>
              <w:rPr>
                <w:rFonts w:cs="Arial"/>
                <w:i/>
                <w:color w:val="7F7F7F" w:themeColor="text2"/>
                <w:sz w:val="16"/>
              </w:rPr>
            </w:pPr>
            <w:r>
              <w:rPr>
                <w:rFonts w:cs="Arial"/>
                <w:i/>
                <w:color w:val="7F7F7F" w:themeColor="text2"/>
                <w:sz w:val="16"/>
              </w:rPr>
              <w:t>(Select only one)</w:t>
            </w:r>
          </w:p>
          <w:p w14:paraId="07DAD77C" w14:textId="77777777" w:rsidR="00A67F37" w:rsidRDefault="00A67F37" w:rsidP="00E212B0">
            <w:pPr>
              <w:rPr>
                <w:rFonts w:cs="Arial"/>
                <w:i/>
                <w:color w:val="7F7F7F" w:themeColor="text2"/>
                <w:sz w:val="16"/>
              </w:rPr>
            </w:pPr>
          </w:p>
          <w:sdt>
            <w:sdtPr>
              <w:rPr>
                <w:rFonts w:cs="Arial"/>
                <w:b/>
                <w:color w:val="000000" w:themeColor="text1"/>
                <w:sz w:val="20"/>
              </w:rPr>
              <w:alias w:val="Domains of Quality "/>
              <w:tag w:val="Domains of Quality"/>
              <w:id w:val="-1722971606"/>
              <w:placeholder>
                <w:docPart w:val="9984687766834DA69FFD0AA53AF73D37"/>
              </w:placeholder>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rPr>
                <w:color w:val="00A3E4" w:themeColor="accent2"/>
              </w:rPr>
            </w:sdtEndPr>
            <w:sdtContent>
              <w:p w14:paraId="4C41C878" w14:textId="4D25496D" w:rsidR="00B749DB" w:rsidRPr="0037000B" w:rsidRDefault="001E5C5B" w:rsidP="00E212B0">
                <w:pPr>
                  <w:rPr>
                    <w:rFonts w:cs="Arial"/>
                    <w:b/>
                    <w:color w:val="00A3E4" w:themeColor="accent2"/>
                    <w:sz w:val="20"/>
                  </w:rPr>
                </w:pPr>
                <w:r>
                  <w:rPr>
                    <w:rFonts w:cs="Arial"/>
                    <w:b/>
                    <w:color w:val="000000" w:themeColor="text1"/>
                    <w:sz w:val="20"/>
                  </w:rPr>
                  <w:t>Efficient</w:t>
                </w:r>
              </w:p>
            </w:sdtContent>
          </w:sdt>
          <w:p w14:paraId="12B49244" w14:textId="77777777" w:rsidR="00B749DB" w:rsidRPr="0037000B" w:rsidRDefault="00B749DB" w:rsidP="00E212B0">
            <w:pPr>
              <w:rPr>
                <w:rFonts w:cs="Arial"/>
                <w:b/>
                <w:color w:val="00A3E4" w:themeColor="accent2"/>
                <w:sz w:val="20"/>
              </w:rPr>
            </w:pPr>
          </w:p>
        </w:tc>
      </w:tr>
    </w:tbl>
    <w:p w14:paraId="476DF9A1" w14:textId="77777777" w:rsidR="00B749DB" w:rsidRDefault="00B749DB" w:rsidP="00B749DB">
      <w:pPr>
        <w:rPr>
          <w:rFonts w:cs="Arial"/>
          <w:sz w:val="20"/>
        </w:rPr>
      </w:pPr>
    </w:p>
    <w:p w14:paraId="610E7F23" w14:textId="77777777" w:rsidR="00B749DB" w:rsidRPr="00CD0A93" w:rsidRDefault="00B749DB" w:rsidP="00B749DB">
      <w:pPr>
        <w:rPr>
          <w:rFonts w:cs="Arial"/>
          <w:sz w:val="20"/>
        </w:rPr>
      </w:pPr>
    </w:p>
    <w:tbl>
      <w:tblPr>
        <w:tblStyle w:val="TableGrid"/>
        <w:tblW w:w="1084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842"/>
      </w:tblGrid>
      <w:tr w:rsidR="00B749DB" w:rsidRPr="00CD0A93" w14:paraId="6BD332CD" w14:textId="77777777" w:rsidTr="001E3DFE">
        <w:trPr>
          <w:trHeight w:val="1295"/>
        </w:trPr>
        <w:tc>
          <w:tcPr>
            <w:tcW w:w="10842" w:type="dxa"/>
          </w:tcPr>
          <w:p w14:paraId="04303FE7" w14:textId="77777777" w:rsidR="00B749DB" w:rsidRPr="001942D3" w:rsidRDefault="00B749DB" w:rsidP="00E212B0">
            <w:pPr>
              <w:rPr>
                <w:rFonts w:cs="Arial"/>
                <w:color w:val="000000" w:themeColor="text1"/>
                <w:sz w:val="20"/>
              </w:rPr>
            </w:pPr>
          </w:p>
          <w:tbl>
            <w:tblPr>
              <w:tblStyle w:val="TableGrid"/>
              <w:tblW w:w="10616" w:type="dxa"/>
              <w:tblLook w:val="04A0" w:firstRow="1" w:lastRow="0" w:firstColumn="1" w:lastColumn="0" w:noHBand="0" w:noVBand="1"/>
            </w:tblPr>
            <w:tblGrid>
              <w:gridCol w:w="7090"/>
              <w:gridCol w:w="3526"/>
            </w:tblGrid>
            <w:tr w:rsidR="00B749DB" w14:paraId="16F98123" w14:textId="77777777" w:rsidTr="001E5C5B">
              <w:trPr>
                <w:trHeight w:val="402"/>
              </w:trPr>
              <w:tc>
                <w:tcPr>
                  <w:tcW w:w="7090" w:type="dxa"/>
                </w:tcPr>
                <w:p w14:paraId="4A1040C2" w14:textId="77777777" w:rsidR="00B749DB" w:rsidRPr="001942D3" w:rsidRDefault="00B749DB" w:rsidP="00E212B0">
                  <w:pPr>
                    <w:rPr>
                      <w:rFonts w:cs="Arial"/>
                      <w:b/>
                      <w:color w:val="00A3E4" w:themeColor="accent2"/>
                      <w:sz w:val="20"/>
                    </w:rPr>
                  </w:pPr>
                  <w:r w:rsidRPr="00581F4F">
                    <w:rPr>
                      <w:rFonts w:cs="Arial"/>
                      <w:b/>
                      <w:color w:val="AA1D37" w:themeColor="accent4"/>
                      <w:sz w:val="20"/>
                    </w:rPr>
                    <w:t xml:space="preserve">Measures: </w:t>
                  </w:r>
                  <w:r>
                    <w:rPr>
                      <w:rFonts w:cs="Arial"/>
                      <w:color w:val="7F7F7F" w:themeColor="text2"/>
                      <w:sz w:val="20"/>
                      <w:szCs w:val="20"/>
                    </w:rPr>
                    <w:t>Performance metrics to be evaluated</w:t>
                  </w:r>
                </w:p>
              </w:tc>
              <w:tc>
                <w:tcPr>
                  <w:tcW w:w="3526" w:type="dxa"/>
                </w:tcPr>
                <w:p w14:paraId="6C912306" w14:textId="77777777" w:rsidR="00B749DB" w:rsidRPr="001942D3" w:rsidRDefault="00B749DB" w:rsidP="00E212B0">
                  <w:pPr>
                    <w:rPr>
                      <w:rFonts w:cs="Arial"/>
                      <w:b/>
                      <w:color w:val="00A3E4" w:themeColor="accent2"/>
                      <w:sz w:val="20"/>
                    </w:rPr>
                  </w:pPr>
                  <w:r w:rsidRPr="00581F4F">
                    <w:rPr>
                      <w:rFonts w:cs="Arial"/>
                      <w:b/>
                      <w:color w:val="AA1D37" w:themeColor="accent4"/>
                      <w:sz w:val="20"/>
                    </w:rPr>
                    <w:t xml:space="preserve">Targets: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21716FBE" w14:textId="77777777" w:rsidTr="001E5C5B">
              <w:trPr>
                <w:trHeight w:val="566"/>
              </w:trPr>
              <w:tc>
                <w:tcPr>
                  <w:tcW w:w="7090" w:type="dxa"/>
                </w:tcPr>
                <w:p w14:paraId="759CCD0B" w14:textId="4047318E" w:rsidR="001E5C5B" w:rsidRDefault="001E5C5B" w:rsidP="001E5C5B">
                  <w:pPr>
                    <w:pStyle w:val="ListParagraph"/>
                    <w:numPr>
                      <w:ilvl w:val="0"/>
                      <w:numId w:val="32"/>
                    </w:numPr>
                    <w:autoSpaceDE w:val="0"/>
                    <w:autoSpaceDN w:val="0"/>
                    <w:adjustRightInd w:val="0"/>
                    <w:rPr>
                      <w:rFonts w:cs="Arial"/>
                      <w:color w:val="000000"/>
                      <w:sz w:val="20"/>
                      <w:szCs w:val="20"/>
                      <w:lang w:val="en-US"/>
                    </w:rPr>
                  </w:pPr>
                  <w:r w:rsidRPr="001E5C5B">
                    <w:rPr>
                      <w:rFonts w:cs="Arial"/>
                      <w:color w:val="000000"/>
                      <w:sz w:val="20"/>
                      <w:szCs w:val="20"/>
                      <w:lang w:val="en-US"/>
                    </w:rPr>
                    <w:t xml:space="preserve">Action Based Minutes finalized and disseminated within 24 </w:t>
                  </w:r>
                  <w:r>
                    <w:rPr>
                      <w:rFonts w:cs="Arial"/>
                      <w:color w:val="000000"/>
                      <w:sz w:val="20"/>
                      <w:szCs w:val="20"/>
                      <w:lang w:val="en-US"/>
                    </w:rPr>
                    <w:t>hours (%)</w:t>
                  </w:r>
                </w:p>
                <w:p w14:paraId="0644F313" w14:textId="77777777" w:rsidR="001E5C5B" w:rsidRDefault="001E5C5B" w:rsidP="001E5C5B">
                  <w:pPr>
                    <w:pStyle w:val="ListParagraph"/>
                    <w:autoSpaceDE w:val="0"/>
                    <w:autoSpaceDN w:val="0"/>
                    <w:adjustRightInd w:val="0"/>
                    <w:ind w:left="360"/>
                    <w:rPr>
                      <w:rFonts w:cs="Arial"/>
                      <w:color w:val="000000"/>
                      <w:sz w:val="20"/>
                      <w:szCs w:val="20"/>
                      <w:lang w:val="en-US"/>
                    </w:rPr>
                  </w:pPr>
                </w:p>
                <w:p w14:paraId="408CDDDD" w14:textId="1E2DD541" w:rsidR="001E5C5B" w:rsidRDefault="001E5C5B" w:rsidP="001E5C5B">
                  <w:pPr>
                    <w:pStyle w:val="ListParagraph"/>
                    <w:numPr>
                      <w:ilvl w:val="0"/>
                      <w:numId w:val="32"/>
                    </w:numPr>
                    <w:autoSpaceDE w:val="0"/>
                    <w:autoSpaceDN w:val="0"/>
                    <w:adjustRightInd w:val="0"/>
                    <w:rPr>
                      <w:rFonts w:cs="Arial"/>
                      <w:color w:val="000000"/>
                      <w:sz w:val="20"/>
                      <w:szCs w:val="20"/>
                      <w:lang w:val="en-US"/>
                    </w:rPr>
                  </w:pPr>
                  <w:r w:rsidRPr="001E5C5B">
                    <w:rPr>
                      <w:rFonts w:cs="Arial"/>
                      <w:color w:val="000000"/>
                      <w:sz w:val="20"/>
                      <w:szCs w:val="20"/>
                      <w:lang w:val="en-US"/>
                    </w:rPr>
                    <w:t>Corporate PI Council (CPIC) complete actions</w:t>
                  </w:r>
                </w:p>
                <w:p w14:paraId="5F5ADEAD" w14:textId="1FFD7B2E" w:rsidR="001E5C5B" w:rsidRPr="001E5C5B" w:rsidRDefault="001E5C5B" w:rsidP="001E5C5B">
                  <w:pPr>
                    <w:autoSpaceDE w:val="0"/>
                    <w:autoSpaceDN w:val="0"/>
                    <w:adjustRightInd w:val="0"/>
                    <w:rPr>
                      <w:rFonts w:cs="Arial"/>
                      <w:color w:val="000000"/>
                      <w:sz w:val="20"/>
                      <w:szCs w:val="20"/>
                      <w:lang w:val="en-US"/>
                    </w:rPr>
                  </w:pPr>
                </w:p>
                <w:p w14:paraId="3A875299" w14:textId="053E4294" w:rsidR="001E5C5B" w:rsidRPr="001E5C5B" w:rsidRDefault="001E5C5B" w:rsidP="001E5C5B">
                  <w:pPr>
                    <w:pStyle w:val="ListParagraph"/>
                    <w:numPr>
                      <w:ilvl w:val="0"/>
                      <w:numId w:val="32"/>
                    </w:numPr>
                    <w:autoSpaceDE w:val="0"/>
                    <w:autoSpaceDN w:val="0"/>
                    <w:adjustRightInd w:val="0"/>
                    <w:rPr>
                      <w:rFonts w:cs="Arial"/>
                      <w:color w:val="000000"/>
                      <w:sz w:val="20"/>
                      <w:szCs w:val="20"/>
                      <w:lang w:val="en-US"/>
                    </w:rPr>
                  </w:pPr>
                  <w:r w:rsidRPr="001E5C5B">
                    <w:rPr>
                      <w:rFonts w:cs="Arial"/>
                      <w:sz w:val="20"/>
                      <w:szCs w:val="20"/>
                      <w:lang w:val="en-US"/>
                    </w:rPr>
                    <w:t>Corporate PI Council (CPIC) actions completed on due time</w:t>
                  </w:r>
                </w:p>
                <w:p w14:paraId="197447C8" w14:textId="12957010" w:rsidR="008E400D" w:rsidRPr="001E5C5B" w:rsidRDefault="008E400D" w:rsidP="001E5C5B">
                  <w:pPr>
                    <w:autoSpaceDE w:val="0"/>
                    <w:autoSpaceDN w:val="0"/>
                    <w:adjustRightInd w:val="0"/>
                    <w:rPr>
                      <w:rFonts w:cs="Arial"/>
                      <w:color w:val="000000" w:themeColor="text1"/>
                      <w:sz w:val="20"/>
                    </w:rPr>
                  </w:pPr>
                </w:p>
              </w:tc>
              <w:tc>
                <w:tcPr>
                  <w:tcW w:w="3526" w:type="dxa"/>
                </w:tcPr>
                <w:p w14:paraId="7C4E8CF9" w14:textId="75A02615" w:rsidR="008E400D" w:rsidRDefault="007742D1" w:rsidP="007742D1">
                  <w:pPr>
                    <w:pStyle w:val="ListParagraph"/>
                    <w:numPr>
                      <w:ilvl w:val="0"/>
                      <w:numId w:val="33"/>
                    </w:numPr>
                    <w:rPr>
                      <w:rFonts w:cs="Arial"/>
                      <w:color w:val="000000" w:themeColor="text1"/>
                      <w:sz w:val="20"/>
                    </w:rPr>
                  </w:pPr>
                  <w:r>
                    <w:rPr>
                      <w:rFonts w:cs="Arial"/>
                      <w:color w:val="000000" w:themeColor="text1"/>
                      <w:sz w:val="20"/>
                    </w:rPr>
                    <w:t xml:space="preserve">At least 70% </w:t>
                  </w:r>
                </w:p>
                <w:p w14:paraId="57F62BAA" w14:textId="77777777" w:rsidR="001E5C5B" w:rsidRDefault="001E5C5B" w:rsidP="001E5C5B">
                  <w:pPr>
                    <w:pStyle w:val="ListParagraph"/>
                    <w:ind w:left="360"/>
                    <w:rPr>
                      <w:rFonts w:cs="Arial"/>
                      <w:color w:val="000000" w:themeColor="text1"/>
                      <w:sz w:val="20"/>
                    </w:rPr>
                  </w:pPr>
                </w:p>
                <w:p w14:paraId="13AF86AB" w14:textId="5A6B45C3" w:rsidR="00BC6656" w:rsidRDefault="001E5C5B" w:rsidP="00BC6656">
                  <w:pPr>
                    <w:pStyle w:val="ListParagraph"/>
                    <w:numPr>
                      <w:ilvl w:val="0"/>
                      <w:numId w:val="33"/>
                    </w:numPr>
                    <w:rPr>
                      <w:rFonts w:cs="Arial"/>
                      <w:color w:val="000000" w:themeColor="text1"/>
                      <w:sz w:val="20"/>
                    </w:rPr>
                  </w:pPr>
                  <w:r>
                    <w:rPr>
                      <w:rFonts w:cs="Arial"/>
                      <w:color w:val="000000" w:themeColor="text1"/>
                      <w:sz w:val="20"/>
                    </w:rPr>
                    <w:t>30% increase</w:t>
                  </w:r>
                </w:p>
                <w:p w14:paraId="66ED41D3" w14:textId="77777777" w:rsidR="001E5C5B" w:rsidRPr="001E5C5B" w:rsidRDefault="001E5C5B" w:rsidP="001E5C5B">
                  <w:pPr>
                    <w:pStyle w:val="ListParagraph"/>
                    <w:rPr>
                      <w:rFonts w:cs="Arial"/>
                      <w:color w:val="000000" w:themeColor="text1"/>
                      <w:sz w:val="20"/>
                    </w:rPr>
                  </w:pPr>
                </w:p>
                <w:p w14:paraId="60603C11" w14:textId="1BE1EED0" w:rsidR="001E5C5B" w:rsidRDefault="001E5C5B" w:rsidP="007742D1">
                  <w:pPr>
                    <w:pStyle w:val="ListParagraph"/>
                    <w:numPr>
                      <w:ilvl w:val="0"/>
                      <w:numId w:val="33"/>
                    </w:numPr>
                    <w:rPr>
                      <w:rFonts w:cs="Arial"/>
                      <w:color w:val="000000" w:themeColor="text1"/>
                      <w:sz w:val="20"/>
                    </w:rPr>
                  </w:pPr>
                  <w:r>
                    <w:rPr>
                      <w:rFonts w:cs="Arial"/>
                      <w:color w:val="000000" w:themeColor="text1"/>
                      <w:sz w:val="20"/>
                    </w:rPr>
                    <w:t>30% increase</w:t>
                  </w:r>
                </w:p>
                <w:p w14:paraId="1CF29601" w14:textId="3001FD73" w:rsidR="00BC6656" w:rsidRPr="00BC6656" w:rsidRDefault="00BC6656" w:rsidP="001E5C5B">
                  <w:pPr>
                    <w:pStyle w:val="ListParagraph"/>
                    <w:ind w:left="360"/>
                    <w:rPr>
                      <w:rFonts w:cs="Arial"/>
                      <w:color w:val="000000" w:themeColor="text1"/>
                      <w:sz w:val="20"/>
                    </w:rPr>
                  </w:pPr>
                </w:p>
              </w:tc>
            </w:tr>
          </w:tbl>
          <w:p w14:paraId="17D89B86" w14:textId="77777777" w:rsidR="00B749DB" w:rsidRPr="001942D3" w:rsidRDefault="00B749DB" w:rsidP="00E212B0">
            <w:pPr>
              <w:rPr>
                <w:rFonts w:cs="Arial"/>
                <w:color w:val="000000" w:themeColor="text1"/>
                <w:sz w:val="20"/>
              </w:rPr>
            </w:pPr>
          </w:p>
        </w:tc>
      </w:tr>
      <w:tr w:rsidR="00B749DB" w:rsidRPr="00CD0A93" w14:paraId="125E6A13" w14:textId="77777777" w:rsidTr="007742D1">
        <w:trPr>
          <w:trHeight w:val="180"/>
        </w:trPr>
        <w:tc>
          <w:tcPr>
            <w:tcW w:w="10842" w:type="dxa"/>
          </w:tcPr>
          <w:p w14:paraId="54B4B0E2" w14:textId="77777777" w:rsidR="007742D1" w:rsidRDefault="007742D1" w:rsidP="00E212B0">
            <w:pPr>
              <w:rPr>
                <w:rFonts w:cs="Arial"/>
                <w:b/>
                <w:color w:val="AA1D37" w:themeColor="accent4"/>
                <w:sz w:val="20"/>
              </w:rPr>
            </w:pPr>
          </w:p>
          <w:p w14:paraId="2050DB7C" w14:textId="227DF1DF" w:rsidR="00B749DB" w:rsidRPr="00DD439D" w:rsidRDefault="00B749DB" w:rsidP="00E212B0">
            <w:pPr>
              <w:rPr>
                <w:rFonts w:cs="Arial"/>
                <w:b/>
                <w:color w:val="00A3E4" w:themeColor="accent2"/>
                <w:sz w:val="20"/>
              </w:rPr>
            </w:pPr>
            <w:r w:rsidRPr="00581F4F">
              <w:rPr>
                <w:rFonts w:cs="Arial"/>
                <w:b/>
                <w:color w:val="AA1D37" w:themeColor="accent4"/>
                <w:sz w:val="20"/>
              </w:rPr>
              <w:t xml:space="preserve">Interventions: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005F3467" w14:textId="77777777" w:rsidR="00C454A6" w:rsidRPr="00C454A6" w:rsidRDefault="00C454A6" w:rsidP="00C454A6">
            <w:pPr>
              <w:rPr>
                <w:rFonts w:cs="Arial"/>
                <w:b/>
                <w:bCs/>
                <w:sz w:val="20"/>
                <w:szCs w:val="28"/>
              </w:rPr>
            </w:pPr>
            <w:r w:rsidRPr="00C454A6">
              <w:rPr>
                <w:rFonts w:cs="Arial"/>
                <w:b/>
                <w:bCs/>
                <w:sz w:val="20"/>
                <w:szCs w:val="28"/>
              </w:rPr>
              <w:t>Minutes Process</w:t>
            </w:r>
          </w:p>
          <w:p w14:paraId="5F6A09E4" w14:textId="350C6EEB" w:rsidR="00C454A6" w:rsidRPr="00C454A6" w:rsidRDefault="00C454A6" w:rsidP="00C454A6">
            <w:pPr>
              <w:pStyle w:val="ListParagraph"/>
              <w:numPr>
                <w:ilvl w:val="0"/>
                <w:numId w:val="9"/>
              </w:numPr>
              <w:rPr>
                <w:rFonts w:cs="Arial"/>
                <w:sz w:val="20"/>
                <w:szCs w:val="28"/>
              </w:rPr>
            </w:pPr>
            <w:r w:rsidRPr="00C454A6">
              <w:rPr>
                <w:rFonts w:cs="Arial"/>
                <w:sz w:val="20"/>
                <w:szCs w:val="28"/>
              </w:rPr>
              <w:t>Meeting minutes’ template is changed from discussion- based into action- based</w:t>
            </w:r>
          </w:p>
          <w:p w14:paraId="020A4BB2" w14:textId="56A2419D" w:rsidR="00C454A6" w:rsidRPr="00C454A6" w:rsidRDefault="00C454A6" w:rsidP="00C454A6">
            <w:pPr>
              <w:pStyle w:val="ListParagraph"/>
              <w:numPr>
                <w:ilvl w:val="0"/>
                <w:numId w:val="9"/>
              </w:numPr>
              <w:rPr>
                <w:rFonts w:cs="Arial"/>
                <w:sz w:val="20"/>
                <w:szCs w:val="28"/>
              </w:rPr>
            </w:pPr>
            <w:r w:rsidRPr="00C454A6">
              <w:rPr>
                <w:rFonts w:cs="Arial"/>
                <w:sz w:val="20"/>
                <w:szCs w:val="28"/>
              </w:rPr>
              <w:t>Voice Record of every meeting is saved in same meeting folder for reference</w:t>
            </w:r>
          </w:p>
          <w:p w14:paraId="6006A1B0" w14:textId="5E674206" w:rsidR="00C454A6" w:rsidRPr="00C454A6" w:rsidRDefault="00C454A6" w:rsidP="00C454A6">
            <w:pPr>
              <w:pStyle w:val="ListParagraph"/>
              <w:numPr>
                <w:ilvl w:val="0"/>
                <w:numId w:val="9"/>
              </w:numPr>
              <w:rPr>
                <w:rFonts w:cs="Arial"/>
                <w:sz w:val="20"/>
                <w:szCs w:val="28"/>
              </w:rPr>
            </w:pPr>
            <w:r w:rsidRPr="00C454A6">
              <w:rPr>
                <w:rFonts w:cs="Arial"/>
                <w:sz w:val="20"/>
                <w:szCs w:val="28"/>
              </w:rPr>
              <w:t>Agreed upon actions are Recapped/Presented at the end of the meeting</w:t>
            </w:r>
          </w:p>
          <w:p w14:paraId="7975B55A" w14:textId="64AF3B3F" w:rsidR="00C454A6" w:rsidRPr="00C454A6" w:rsidRDefault="00C454A6" w:rsidP="00C454A6">
            <w:pPr>
              <w:pStyle w:val="ListParagraph"/>
              <w:numPr>
                <w:ilvl w:val="0"/>
                <w:numId w:val="9"/>
              </w:numPr>
              <w:rPr>
                <w:rFonts w:cs="Arial"/>
                <w:sz w:val="20"/>
                <w:szCs w:val="28"/>
              </w:rPr>
            </w:pPr>
            <w:r w:rsidRPr="00C454A6">
              <w:rPr>
                <w:rFonts w:cs="Arial"/>
                <w:sz w:val="20"/>
                <w:szCs w:val="28"/>
              </w:rPr>
              <w:t>Established process Timelines: Minutes were drafted during the meeting (Dell Tablet), checked and sent within 24 Hours</w:t>
            </w:r>
          </w:p>
          <w:p w14:paraId="33BB3B6D" w14:textId="77777777" w:rsidR="00C454A6" w:rsidRPr="00C454A6" w:rsidRDefault="00C454A6" w:rsidP="00C454A6">
            <w:pPr>
              <w:rPr>
                <w:rFonts w:cs="Arial"/>
                <w:b/>
                <w:bCs/>
                <w:sz w:val="20"/>
                <w:szCs w:val="28"/>
              </w:rPr>
            </w:pPr>
            <w:r w:rsidRPr="00C454A6">
              <w:rPr>
                <w:rFonts w:cs="Arial"/>
                <w:b/>
                <w:bCs/>
                <w:sz w:val="20"/>
                <w:szCs w:val="28"/>
              </w:rPr>
              <w:t>Committee Action Follow up (CPIC)</w:t>
            </w:r>
          </w:p>
          <w:p w14:paraId="30E396A5" w14:textId="2273AB71" w:rsidR="00C454A6" w:rsidRPr="00C454A6" w:rsidRDefault="00C454A6" w:rsidP="00C454A6">
            <w:pPr>
              <w:pStyle w:val="ListParagraph"/>
              <w:numPr>
                <w:ilvl w:val="0"/>
                <w:numId w:val="9"/>
              </w:numPr>
              <w:rPr>
                <w:rFonts w:cs="Arial"/>
                <w:sz w:val="20"/>
                <w:szCs w:val="28"/>
              </w:rPr>
            </w:pPr>
            <w:r w:rsidRPr="00C454A6">
              <w:rPr>
                <w:rFonts w:cs="Arial"/>
                <w:sz w:val="20"/>
                <w:szCs w:val="28"/>
              </w:rPr>
              <w:t>CPIC Actions Database is developed to Log (Meeting Actions, Date, Memo s references, Responsibility, Expected completion date, Actual Completion date, First F/U Date, and Progress.)</w:t>
            </w:r>
          </w:p>
          <w:p w14:paraId="26170DD0" w14:textId="1ECE185F" w:rsidR="00C454A6" w:rsidRPr="00C454A6" w:rsidRDefault="00C454A6" w:rsidP="00C454A6">
            <w:pPr>
              <w:pStyle w:val="ListParagraph"/>
              <w:numPr>
                <w:ilvl w:val="0"/>
                <w:numId w:val="9"/>
              </w:numPr>
              <w:rPr>
                <w:rFonts w:cs="Arial"/>
                <w:sz w:val="20"/>
                <w:szCs w:val="28"/>
              </w:rPr>
            </w:pPr>
            <w:r w:rsidRPr="00C454A6">
              <w:rPr>
                <w:rFonts w:cs="Arial"/>
                <w:sz w:val="20"/>
                <w:szCs w:val="28"/>
              </w:rPr>
              <w:t>Reminder emails /memos/meeting F/U were sent.</w:t>
            </w:r>
          </w:p>
          <w:p w14:paraId="22301DEC" w14:textId="1D806C08" w:rsidR="00BC6656" w:rsidRPr="00C454A6" w:rsidRDefault="00C454A6" w:rsidP="00C454A6">
            <w:pPr>
              <w:numPr>
                <w:ilvl w:val="0"/>
                <w:numId w:val="9"/>
              </w:numPr>
              <w:rPr>
                <w:rFonts w:cs="Arial"/>
                <w:color w:val="7F7F7F" w:themeColor="text2"/>
                <w:sz w:val="16"/>
                <w:lang w:val="en-US"/>
              </w:rPr>
            </w:pPr>
            <w:r w:rsidRPr="00C454A6">
              <w:rPr>
                <w:rFonts w:cs="Arial"/>
                <w:sz w:val="20"/>
                <w:szCs w:val="28"/>
              </w:rPr>
              <w:t>CPIC Actions Status Dashboard is a standing agenda item and is presented in each CPIC meeting</w:t>
            </w:r>
          </w:p>
          <w:p w14:paraId="1F07325E" w14:textId="77777777" w:rsidR="00BC6656" w:rsidRDefault="00BC6656" w:rsidP="00BC6656">
            <w:pPr>
              <w:rPr>
                <w:rFonts w:cs="Arial"/>
                <w:color w:val="7F7F7F" w:themeColor="text2"/>
                <w:sz w:val="16"/>
              </w:rPr>
            </w:pPr>
          </w:p>
          <w:p w14:paraId="6B960CA5" w14:textId="77777777" w:rsidR="00BC6656" w:rsidRDefault="00BC6656" w:rsidP="00BC6656">
            <w:pPr>
              <w:rPr>
                <w:rFonts w:cs="Arial"/>
                <w:color w:val="7F7F7F" w:themeColor="text2"/>
                <w:sz w:val="16"/>
              </w:rPr>
            </w:pPr>
          </w:p>
          <w:p w14:paraId="5900E502" w14:textId="5A436E4D" w:rsidR="00BC6656" w:rsidRPr="00BC6656" w:rsidRDefault="00BC6656" w:rsidP="00C454A6">
            <w:pPr>
              <w:rPr>
                <w:rFonts w:cs="Arial"/>
                <w:color w:val="7F7F7F" w:themeColor="text2"/>
                <w:sz w:val="16"/>
              </w:rPr>
            </w:pPr>
          </w:p>
        </w:tc>
      </w:tr>
      <w:tr w:rsidR="00B749DB" w:rsidRPr="00CD0A93" w14:paraId="4C64EF4B" w14:textId="77777777" w:rsidTr="00C454A6">
        <w:trPr>
          <w:trHeight w:val="11412"/>
        </w:trPr>
        <w:tc>
          <w:tcPr>
            <w:tcW w:w="10842" w:type="dxa"/>
          </w:tcPr>
          <w:p w14:paraId="4B182767" w14:textId="35712D9F" w:rsidR="00B749DB" w:rsidRPr="00DD439D" w:rsidRDefault="00B749DB" w:rsidP="00E212B0">
            <w:pPr>
              <w:rPr>
                <w:rFonts w:cs="Arial"/>
                <w:b/>
                <w:color w:val="00A3E4" w:themeColor="accent2"/>
                <w:sz w:val="20"/>
              </w:rPr>
            </w:pPr>
            <w:r w:rsidRPr="00581F4F">
              <w:rPr>
                <w:rFonts w:cs="Arial"/>
                <w:b/>
                <w:color w:val="AA1D37" w:themeColor="accent4"/>
                <w:sz w:val="20"/>
              </w:rPr>
              <w:lastRenderedPageBreak/>
              <w:t xml:space="preserve">Results: </w:t>
            </w:r>
            <w:r>
              <w:rPr>
                <w:rFonts w:cs="Arial"/>
                <w:color w:val="7F7F7F" w:themeColor="text2"/>
                <w:sz w:val="20"/>
                <w:szCs w:val="20"/>
              </w:rPr>
              <w:t>Insert relevant graphs and charts to illustrate improvement pre and post project</w:t>
            </w:r>
          </w:p>
          <w:p w14:paraId="78AC85B6" w14:textId="0ED2718E" w:rsidR="00B749DB" w:rsidRPr="00DD439D" w:rsidRDefault="00B749DB" w:rsidP="00E212B0">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0D929B85" w14:textId="2C1FFA80" w:rsidR="009E461E" w:rsidRPr="000071D7" w:rsidRDefault="009E461E" w:rsidP="009E461E">
            <w:pPr>
              <w:pStyle w:val="ListParagraph"/>
              <w:ind w:left="342"/>
              <w:rPr>
                <w:rFonts w:cs="Arial"/>
                <w:color w:val="000000" w:themeColor="text1"/>
                <w:sz w:val="20"/>
                <w:lang w:val="en-US"/>
              </w:rPr>
            </w:pPr>
          </w:p>
          <w:p w14:paraId="64780AD3" w14:textId="77777777" w:rsidR="00C454A6" w:rsidRPr="00C454A6" w:rsidRDefault="00C454A6" w:rsidP="00C454A6">
            <w:pPr>
              <w:autoSpaceDE w:val="0"/>
              <w:autoSpaceDN w:val="0"/>
              <w:adjustRightInd w:val="0"/>
              <w:rPr>
                <w:rFonts w:cs="Arial"/>
                <w:sz w:val="20"/>
                <w:szCs w:val="20"/>
                <w:lang w:val="en-US"/>
              </w:rPr>
            </w:pPr>
            <w:r w:rsidRPr="00C454A6">
              <w:rPr>
                <w:rFonts w:cs="Arial"/>
                <w:b/>
                <w:bCs/>
                <w:sz w:val="20"/>
                <w:szCs w:val="20"/>
                <w:lang w:val="en-US"/>
              </w:rPr>
              <w:t xml:space="preserve">78% </w:t>
            </w:r>
            <w:r w:rsidRPr="00C454A6">
              <w:rPr>
                <w:rFonts w:cs="Arial"/>
                <w:sz w:val="20"/>
                <w:szCs w:val="20"/>
                <w:lang w:val="en-US"/>
              </w:rPr>
              <w:t>of</w:t>
            </w:r>
            <w:r w:rsidRPr="00C454A6">
              <w:rPr>
                <w:rFonts w:cs="Arial"/>
                <w:b/>
                <w:bCs/>
                <w:sz w:val="20"/>
                <w:szCs w:val="20"/>
                <w:lang w:val="en-US"/>
              </w:rPr>
              <w:t xml:space="preserve"> </w:t>
            </w:r>
            <w:r w:rsidRPr="00C454A6">
              <w:rPr>
                <w:rFonts w:cs="Arial"/>
                <w:sz w:val="20"/>
                <w:szCs w:val="20"/>
                <w:lang w:val="en-US"/>
              </w:rPr>
              <w:t>action based minutes were finalized and distributed within 24hrs</w:t>
            </w:r>
          </w:p>
          <w:p w14:paraId="6C441EFC" w14:textId="00C862AB" w:rsidR="00C454A6" w:rsidRPr="00C454A6" w:rsidRDefault="007742D1" w:rsidP="007742D1">
            <w:pPr>
              <w:autoSpaceDE w:val="0"/>
              <w:autoSpaceDN w:val="0"/>
              <w:adjustRightInd w:val="0"/>
              <w:rPr>
                <w:rFonts w:cs="Arial"/>
                <w:sz w:val="20"/>
                <w:szCs w:val="20"/>
                <w:lang w:val="en-US"/>
              </w:rPr>
            </w:pPr>
            <w:r>
              <w:rPr>
                <w:rFonts w:cs="Arial"/>
                <w:b/>
                <w:bCs/>
                <w:sz w:val="20"/>
                <w:szCs w:val="20"/>
                <w:lang w:val="en-US"/>
              </w:rPr>
              <w:t>43</w:t>
            </w:r>
            <w:r w:rsidR="00C454A6" w:rsidRPr="00C454A6">
              <w:rPr>
                <w:rFonts w:cs="Arial"/>
                <w:b/>
                <w:bCs/>
                <w:sz w:val="20"/>
                <w:szCs w:val="20"/>
                <w:lang w:val="en-US"/>
              </w:rPr>
              <w:t xml:space="preserve"> % </w:t>
            </w:r>
            <w:r w:rsidR="00C454A6" w:rsidRPr="00C454A6">
              <w:rPr>
                <w:rFonts w:cs="Arial"/>
                <w:sz w:val="20"/>
                <w:szCs w:val="20"/>
                <w:lang w:val="en-US"/>
              </w:rPr>
              <w:t xml:space="preserve">improvement in Complete CPIC actions AND </w:t>
            </w:r>
            <w:r>
              <w:rPr>
                <w:rFonts w:cs="Arial"/>
                <w:b/>
                <w:bCs/>
                <w:sz w:val="20"/>
                <w:szCs w:val="20"/>
                <w:lang w:val="en-US"/>
              </w:rPr>
              <w:t>41</w:t>
            </w:r>
            <w:r w:rsidR="00C454A6" w:rsidRPr="00C454A6">
              <w:rPr>
                <w:rFonts w:cs="Arial"/>
                <w:b/>
                <w:bCs/>
                <w:sz w:val="20"/>
                <w:szCs w:val="20"/>
                <w:lang w:val="en-US"/>
              </w:rPr>
              <w:t xml:space="preserve"> % </w:t>
            </w:r>
            <w:r w:rsidR="00C454A6" w:rsidRPr="00C454A6">
              <w:rPr>
                <w:rFonts w:cs="Arial"/>
                <w:sz w:val="20"/>
                <w:szCs w:val="20"/>
                <w:lang w:val="en-US"/>
              </w:rPr>
              <w:t>improvement in actions completed on time</w:t>
            </w:r>
          </w:p>
          <w:p w14:paraId="3C2217D4" w14:textId="7D8A7A7D" w:rsidR="009E461E" w:rsidRPr="00C454A6" w:rsidRDefault="009E461E" w:rsidP="00C454A6">
            <w:pPr>
              <w:rPr>
                <w:lang w:val="en-US"/>
              </w:rPr>
            </w:pPr>
          </w:p>
          <w:p w14:paraId="2206B5B8" w14:textId="60D3AFC5" w:rsidR="009E461E" w:rsidRPr="009E461E" w:rsidRDefault="00A221FF" w:rsidP="00C454A6">
            <w:pPr>
              <w:jc w:val="center"/>
            </w:pPr>
            <w:r>
              <w:rPr>
                <w:noProof/>
                <w:lang w:val="en-US"/>
              </w:rPr>
              <w:drawing>
                <wp:anchor distT="0" distB="0" distL="114300" distR="114300" simplePos="0" relativeHeight="251668480" behindDoc="1" locked="0" layoutInCell="1" allowOverlap="1" wp14:anchorId="42FD4459" wp14:editId="4303A37A">
                  <wp:simplePos x="0" y="0"/>
                  <wp:positionH relativeFrom="column">
                    <wp:posOffset>64770</wp:posOffset>
                  </wp:positionH>
                  <wp:positionV relativeFrom="paragraph">
                    <wp:posOffset>243840</wp:posOffset>
                  </wp:positionV>
                  <wp:extent cx="3181350" cy="2114550"/>
                  <wp:effectExtent l="0" t="0" r="0" b="0"/>
                  <wp:wrapTight wrapText="bothSides">
                    <wp:wrapPolygon edited="0">
                      <wp:start x="0" y="0"/>
                      <wp:lineTo x="0" y="21405"/>
                      <wp:lineTo x="21471" y="21405"/>
                      <wp:lineTo x="21471"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9504" behindDoc="0" locked="0" layoutInCell="1" allowOverlap="1" wp14:anchorId="520EBE30" wp14:editId="7EE57B40">
                  <wp:simplePos x="0" y="0"/>
                  <wp:positionH relativeFrom="column">
                    <wp:posOffset>3427095</wp:posOffset>
                  </wp:positionH>
                  <wp:positionV relativeFrom="paragraph">
                    <wp:posOffset>262890</wp:posOffset>
                  </wp:positionV>
                  <wp:extent cx="3171825" cy="2095500"/>
                  <wp:effectExtent l="0" t="0" r="9525" b="0"/>
                  <wp:wrapThrough wrapText="bothSides">
                    <wp:wrapPolygon edited="0">
                      <wp:start x="0" y="0"/>
                      <wp:lineTo x="0" y="21404"/>
                      <wp:lineTo x="21535" y="21404"/>
                      <wp:lineTo x="21535"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2BC6DDA7" w14:textId="4802F210" w:rsidR="009E461E" w:rsidRPr="009E461E" w:rsidRDefault="009E461E" w:rsidP="009E461E"/>
          <w:p w14:paraId="26925E63" w14:textId="402FBA9E" w:rsidR="009E461E" w:rsidRPr="009E461E" w:rsidRDefault="009E461E" w:rsidP="009E461E"/>
          <w:p w14:paraId="160B22DB" w14:textId="486C41F5" w:rsidR="00B749DB" w:rsidRPr="009E461E" w:rsidRDefault="00915ADE" w:rsidP="009E461E">
            <w:r>
              <w:rPr>
                <w:noProof/>
                <w:lang w:val="en-US"/>
              </w:rPr>
              <w:drawing>
                <wp:inline distT="0" distB="0" distL="0" distR="0" wp14:anchorId="7C2B2D77" wp14:editId="17E966FC">
                  <wp:extent cx="6553200" cy="29813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14:paraId="61CC780D" w14:textId="69C54662" w:rsidR="008A3BB1" w:rsidRDefault="008A3BB1" w:rsidP="00B749DB"/>
    <w:tbl>
      <w:tblPr>
        <w:tblStyle w:val="TableGrid"/>
        <w:tblW w:w="10396" w:type="dxa"/>
        <w:tblLook w:val="04A0" w:firstRow="1" w:lastRow="0" w:firstColumn="1" w:lastColumn="0" w:noHBand="0" w:noVBand="1"/>
      </w:tblPr>
      <w:tblGrid>
        <w:gridCol w:w="4862"/>
        <w:gridCol w:w="5534"/>
      </w:tblGrid>
      <w:tr w:rsidR="0096065F" w:rsidRPr="00CD0A93" w14:paraId="65026527" w14:textId="77777777" w:rsidTr="00FC08D2">
        <w:trPr>
          <w:trHeight w:val="153"/>
        </w:trPr>
        <w:tc>
          <w:tcPr>
            <w:tcW w:w="4862" w:type="dxa"/>
            <w:tcBorders>
              <w:top w:val="nil"/>
              <w:left w:val="nil"/>
              <w:bottom w:val="nil"/>
              <w:right w:val="nil"/>
            </w:tcBorders>
            <w:shd w:val="clear" w:color="auto" w:fill="AA1D37" w:themeFill="accent4"/>
          </w:tcPr>
          <w:p w14:paraId="13DE7BDC" w14:textId="77777777" w:rsidR="0096065F" w:rsidRPr="00CD0A93" w:rsidRDefault="0096065F" w:rsidP="009B1CC1">
            <w:pPr>
              <w:rPr>
                <w:rFonts w:cs="Arial"/>
                <w:sz w:val="20"/>
              </w:rPr>
            </w:pPr>
            <w:r>
              <w:rPr>
                <w:rFonts w:cs="Arial"/>
                <w:b/>
                <w:color w:val="FFFFFF" w:themeColor="background1"/>
                <w:sz w:val="20"/>
              </w:rPr>
              <w:t>Project Lead</w:t>
            </w:r>
          </w:p>
        </w:tc>
        <w:tc>
          <w:tcPr>
            <w:tcW w:w="5534" w:type="dxa"/>
            <w:tcBorders>
              <w:top w:val="nil"/>
              <w:left w:val="nil"/>
              <w:bottom w:val="nil"/>
              <w:right w:val="nil"/>
            </w:tcBorders>
            <w:shd w:val="clear" w:color="auto" w:fill="AA1D37" w:themeFill="accent4"/>
          </w:tcPr>
          <w:p w14:paraId="59427153" w14:textId="77777777" w:rsidR="0096065F" w:rsidRPr="001D1B42" w:rsidRDefault="0096065F" w:rsidP="009B1CC1">
            <w:pPr>
              <w:rPr>
                <w:rFonts w:cs="Arial"/>
                <w:b/>
                <w:sz w:val="20"/>
              </w:rPr>
            </w:pPr>
            <w:r w:rsidRPr="001D1B42">
              <w:rPr>
                <w:rFonts w:cs="Arial"/>
                <w:b/>
                <w:color w:val="FFFFFF" w:themeColor="background1"/>
                <w:sz w:val="20"/>
              </w:rPr>
              <w:t>Team Members</w:t>
            </w:r>
          </w:p>
        </w:tc>
      </w:tr>
      <w:tr w:rsidR="00C454A6" w:rsidRPr="00CD0A93" w14:paraId="2A8C6B79" w14:textId="77777777" w:rsidTr="00FC08D2">
        <w:trPr>
          <w:trHeight w:val="67"/>
        </w:trPr>
        <w:tc>
          <w:tcPr>
            <w:tcW w:w="4862" w:type="dxa"/>
            <w:tcBorders>
              <w:top w:val="nil"/>
              <w:left w:val="nil"/>
              <w:bottom w:val="nil"/>
              <w:right w:val="nil"/>
            </w:tcBorders>
          </w:tcPr>
          <w:p w14:paraId="371FC743" w14:textId="77777777" w:rsidR="00C454A6" w:rsidRDefault="00C454A6" w:rsidP="00C454A6">
            <w:pPr>
              <w:rPr>
                <w:rFonts w:cs="Arial"/>
                <w:sz w:val="20"/>
                <w:szCs w:val="20"/>
                <w:lang w:val="en-US"/>
              </w:rPr>
            </w:pPr>
          </w:p>
          <w:p w14:paraId="26628DA4" w14:textId="1499A683" w:rsidR="00C454A6" w:rsidRPr="00CD0A93" w:rsidRDefault="00C454A6" w:rsidP="00C454A6">
            <w:pPr>
              <w:rPr>
                <w:rFonts w:cs="Arial"/>
                <w:color w:val="00A3E4" w:themeColor="accent2"/>
                <w:sz w:val="20"/>
              </w:rPr>
            </w:pPr>
            <w:r w:rsidRPr="003A7DA2">
              <w:rPr>
                <w:rFonts w:cs="Arial"/>
                <w:sz w:val="20"/>
                <w:szCs w:val="20"/>
                <w:lang w:val="en-US"/>
              </w:rPr>
              <w:t>Dr</w:t>
            </w:r>
            <w:r>
              <w:rPr>
                <w:rFonts w:cs="Arial"/>
                <w:sz w:val="20"/>
                <w:szCs w:val="20"/>
                <w:lang w:val="en-US"/>
              </w:rPr>
              <w:t>.</w:t>
            </w:r>
            <w:r w:rsidRPr="003A7DA2">
              <w:rPr>
                <w:rFonts w:cs="Arial"/>
                <w:sz w:val="20"/>
                <w:szCs w:val="20"/>
                <w:lang w:val="en-US"/>
              </w:rPr>
              <w:t xml:space="preserve"> Mohamad Hijazi, Chief Quality Officer</w:t>
            </w:r>
            <w:r w:rsidR="00A67F37">
              <w:rPr>
                <w:rFonts w:cs="Arial"/>
                <w:sz w:val="20"/>
                <w:szCs w:val="20"/>
                <w:lang w:val="en-US"/>
              </w:rPr>
              <w:t>, TQM</w:t>
            </w:r>
          </w:p>
        </w:tc>
        <w:tc>
          <w:tcPr>
            <w:tcW w:w="5534" w:type="dxa"/>
            <w:tcBorders>
              <w:top w:val="nil"/>
              <w:left w:val="nil"/>
              <w:bottom w:val="nil"/>
              <w:right w:val="nil"/>
            </w:tcBorders>
          </w:tcPr>
          <w:p w14:paraId="0DDBB7BE" w14:textId="77777777" w:rsidR="00C454A6" w:rsidRDefault="00C454A6" w:rsidP="00C454A6">
            <w:pPr>
              <w:rPr>
                <w:rFonts w:cs="Arial"/>
                <w:sz w:val="20"/>
                <w:szCs w:val="20"/>
              </w:rPr>
            </w:pPr>
          </w:p>
          <w:p w14:paraId="14ED1E4D" w14:textId="6C181ACE" w:rsidR="00C454A6" w:rsidRPr="00C454A6" w:rsidRDefault="00C454A6" w:rsidP="00C454A6">
            <w:pPr>
              <w:rPr>
                <w:rFonts w:cs="Arial"/>
                <w:sz w:val="20"/>
                <w:szCs w:val="20"/>
              </w:rPr>
            </w:pPr>
            <w:r w:rsidRPr="00C454A6">
              <w:rPr>
                <w:rFonts w:cs="Arial"/>
                <w:sz w:val="20"/>
                <w:szCs w:val="20"/>
              </w:rPr>
              <w:t>Abeer Hamami, Assistant Chief Quality Officer</w:t>
            </w:r>
            <w:r w:rsidR="00A67F37">
              <w:rPr>
                <w:rFonts w:cs="Arial"/>
                <w:sz w:val="20"/>
                <w:szCs w:val="20"/>
              </w:rPr>
              <w:t>, TQM</w:t>
            </w:r>
          </w:p>
          <w:p w14:paraId="67B01E6D" w14:textId="52194AA5" w:rsidR="00C454A6" w:rsidRPr="00C454A6" w:rsidRDefault="00C454A6" w:rsidP="00E36BE0">
            <w:pPr>
              <w:rPr>
                <w:rFonts w:cs="Arial"/>
                <w:sz w:val="20"/>
                <w:szCs w:val="20"/>
              </w:rPr>
            </w:pPr>
            <w:r w:rsidRPr="00C454A6">
              <w:rPr>
                <w:rFonts w:cs="Arial"/>
                <w:sz w:val="20"/>
                <w:szCs w:val="20"/>
              </w:rPr>
              <w:t xml:space="preserve">Ashraf </w:t>
            </w:r>
            <w:r w:rsidR="00E36BE0">
              <w:rPr>
                <w:rFonts w:cs="Arial"/>
                <w:sz w:val="20"/>
                <w:szCs w:val="20"/>
              </w:rPr>
              <w:t>Rababah</w:t>
            </w:r>
            <w:r w:rsidRPr="00C454A6">
              <w:rPr>
                <w:rFonts w:cs="Arial"/>
                <w:sz w:val="20"/>
                <w:szCs w:val="20"/>
              </w:rPr>
              <w:t>, Performance Scorecard Specialist</w:t>
            </w:r>
            <w:r w:rsidR="00A67F37">
              <w:rPr>
                <w:rFonts w:cs="Arial"/>
                <w:sz w:val="20"/>
                <w:szCs w:val="20"/>
              </w:rPr>
              <w:t>, TQM</w:t>
            </w:r>
          </w:p>
          <w:p w14:paraId="1BBC86CF" w14:textId="63A7653F" w:rsidR="00C454A6" w:rsidRPr="00CD0A93" w:rsidRDefault="00C454A6" w:rsidP="00E36BE0">
            <w:pPr>
              <w:rPr>
                <w:rFonts w:cs="Arial"/>
                <w:color w:val="00A3E4" w:themeColor="accent2"/>
                <w:sz w:val="20"/>
              </w:rPr>
            </w:pPr>
            <w:r w:rsidRPr="00C454A6">
              <w:rPr>
                <w:rFonts w:cs="Arial"/>
                <w:sz w:val="20"/>
                <w:szCs w:val="20"/>
              </w:rPr>
              <w:t>Merc</w:t>
            </w:r>
            <w:r w:rsidR="00E36BE0">
              <w:rPr>
                <w:rFonts w:cs="Arial"/>
                <w:sz w:val="20"/>
                <w:szCs w:val="20"/>
              </w:rPr>
              <w:t>y</w:t>
            </w:r>
            <w:bookmarkStart w:id="0" w:name="_GoBack"/>
            <w:bookmarkEnd w:id="0"/>
            <w:r w:rsidRPr="00C454A6">
              <w:rPr>
                <w:rFonts w:cs="Arial"/>
                <w:sz w:val="20"/>
                <w:szCs w:val="20"/>
              </w:rPr>
              <w:t xml:space="preserve"> Lagon, Hospital Assistant</w:t>
            </w:r>
            <w:r w:rsidR="00A67F37">
              <w:rPr>
                <w:rFonts w:cs="Arial"/>
                <w:sz w:val="20"/>
                <w:szCs w:val="20"/>
              </w:rPr>
              <w:t>, TQM</w:t>
            </w:r>
          </w:p>
        </w:tc>
      </w:tr>
      <w:tr w:rsidR="00C454A6" w:rsidRPr="00DD439D" w14:paraId="66A4127D" w14:textId="77777777" w:rsidTr="00FC08D2">
        <w:trPr>
          <w:trHeight w:val="1447"/>
        </w:trPr>
        <w:tc>
          <w:tcPr>
            <w:tcW w:w="4862" w:type="dxa"/>
            <w:tcBorders>
              <w:top w:val="nil"/>
              <w:left w:val="nil"/>
              <w:bottom w:val="nil"/>
              <w:right w:val="nil"/>
            </w:tcBorders>
          </w:tcPr>
          <w:p w14:paraId="6803C43E" w14:textId="60447BFC" w:rsidR="00C454A6" w:rsidRPr="00DD439D" w:rsidRDefault="00C454A6" w:rsidP="00C454A6">
            <w:pPr>
              <w:rPr>
                <w:rFonts w:cs="Arial"/>
                <w:sz w:val="20"/>
                <w:szCs w:val="20"/>
              </w:rPr>
            </w:pPr>
          </w:p>
        </w:tc>
        <w:tc>
          <w:tcPr>
            <w:tcW w:w="5534" w:type="dxa"/>
            <w:tcBorders>
              <w:top w:val="nil"/>
              <w:left w:val="nil"/>
              <w:bottom w:val="nil"/>
              <w:right w:val="nil"/>
            </w:tcBorders>
          </w:tcPr>
          <w:p w14:paraId="68D5A190" w14:textId="0DF738A3" w:rsidR="00C454A6" w:rsidRPr="0096065F" w:rsidRDefault="00C454A6" w:rsidP="00C454A6">
            <w:pPr>
              <w:rPr>
                <w:rFonts w:cs="Arial"/>
                <w:sz w:val="20"/>
                <w:szCs w:val="20"/>
              </w:rPr>
            </w:pPr>
          </w:p>
        </w:tc>
      </w:tr>
    </w:tbl>
    <w:p w14:paraId="41E02313" w14:textId="77777777" w:rsidR="00B749DB" w:rsidRPr="00DD439D" w:rsidRDefault="00B749DB" w:rsidP="00C454A6">
      <w:pPr>
        <w:rPr>
          <w:color w:val="000000" w:themeColor="text1"/>
          <w:sz w:val="20"/>
          <w:szCs w:val="20"/>
        </w:rPr>
      </w:pPr>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0ADED" w14:textId="77777777" w:rsidR="00366F64" w:rsidRDefault="00366F64" w:rsidP="00DA3815">
      <w:pPr>
        <w:spacing w:line="240" w:lineRule="auto"/>
      </w:pPr>
      <w:r>
        <w:separator/>
      </w:r>
    </w:p>
  </w:endnote>
  <w:endnote w:type="continuationSeparator" w:id="0">
    <w:p w14:paraId="592AE446" w14:textId="77777777" w:rsidR="00366F64" w:rsidRDefault="00366F64"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5681D" w14:textId="77777777" w:rsidR="00366F64" w:rsidRDefault="00366F64" w:rsidP="00DA3815">
      <w:pPr>
        <w:spacing w:line="240" w:lineRule="auto"/>
      </w:pPr>
      <w:r>
        <w:separator/>
      </w:r>
    </w:p>
  </w:footnote>
  <w:footnote w:type="continuationSeparator" w:id="0">
    <w:p w14:paraId="41D34EF8" w14:textId="77777777" w:rsidR="00366F64" w:rsidRDefault="00366F64" w:rsidP="00DA3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A25C31"/>
    <w:multiLevelType w:val="hybridMultilevel"/>
    <w:tmpl w:val="248C7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F4F1429"/>
    <w:multiLevelType w:val="hybridMultilevel"/>
    <w:tmpl w:val="C4A47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2D14C4"/>
    <w:multiLevelType w:val="hybridMultilevel"/>
    <w:tmpl w:val="7DB29F66"/>
    <w:lvl w:ilvl="0" w:tplc="B58E80D0">
      <w:start w:val="1"/>
      <w:numFmt w:val="bullet"/>
      <w:lvlText w:val=""/>
      <w:lvlJc w:val="left"/>
      <w:pPr>
        <w:ind w:left="360" w:hanging="360"/>
      </w:pPr>
      <w:rPr>
        <w:rFonts w:ascii="Symbol" w:hAnsi="Symbol" w:hint="default"/>
        <w:color w:val="000000" w:themeColor="text1"/>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3F6DFD"/>
    <w:multiLevelType w:val="hybridMultilevel"/>
    <w:tmpl w:val="FD58E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7B0068"/>
    <w:multiLevelType w:val="hybridMultilevel"/>
    <w:tmpl w:val="8B664E6C"/>
    <w:lvl w:ilvl="0" w:tplc="BF78DBFA">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3507666"/>
    <w:multiLevelType w:val="hybridMultilevel"/>
    <w:tmpl w:val="FD58E0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EFA227F"/>
    <w:multiLevelType w:val="hybridMultilevel"/>
    <w:tmpl w:val="3692D9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4"/>
  </w:num>
  <w:num w:numId="3">
    <w:abstractNumId w:val="9"/>
  </w:num>
  <w:num w:numId="4">
    <w:abstractNumId w:val="30"/>
  </w:num>
  <w:num w:numId="5">
    <w:abstractNumId w:val="23"/>
  </w:num>
  <w:num w:numId="6">
    <w:abstractNumId w:val="6"/>
  </w:num>
  <w:num w:numId="7">
    <w:abstractNumId w:val="0"/>
  </w:num>
  <w:num w:numId="8">
    <w:abstractNumId w:val="5"/>
  </w:num>
  <w:num w:numId="9">
    <w:abstractNumId w:val="8"/>
  </w:num>
  <w:num w:numId="10">
    <w:abstractNumId w:val="3"/>
  </w:num>
  <w:num w:numId="11">
    <w:abstractNumId w:val="27"/>
  </w:num>
  <w:num w:numId="12">
    <w:abstractNumId w:val="26"/>
  </w:num>
  <w:num w:numId="13">
    <w:abstractNumId w:val="4"/>
  </w:num>
  <w:num w:numId="14">
    <w:abstractNumId w:val="19"/>
  </w:num>
  <w:num w:numId="15">
    <w:abstractNumId w:val="21"/>
  </w:num>
  <w:num w:numId="16">
    <w:abstractNumId w:val="31"/>
  </w:num>
  <w:num w:numId="17">
    <w:abstractNumId w:val="22"/>
  </w:num>
  <w:num w:numId="18">
    <w:abstractNumId w:val="2"/>
  </w:num>
  <w:num w:numId="19">
    <w:abstractNumId w:val="18"/>
  </w:num>
  <w:num w:numId="20">
    <w:abstractNumId w:val="10"/>
  </w:num>
  <w:num w:numId="21">
    <w:abstractNumId w:val="25"/>
  </w:num>
  <w:num w:numId="22">
    <w:abstractNumId w:val="17"/>
  </w:num>
  <w:num w:numId="23">
    <w:abstractNumId w:val="12"/>
  </w:num>
  <w:num w:numId="24">
    <w:abstractNumId w:val="13"/>
  </w:num>
  <w:num w:numId="25">
    <w:abstractNumId w:val="32"/>
  </w:num>
  <w:num w:numId="26">
    <w:abstractNumId w:val="28"/>
  </w:num>
  <w:num w:numId="27">
    <w:abstractNumId w:val="11"/>
  </w:num>
  <w:num w:numId="28">
    <w:abstractNumId w:val="29"/>
  </w:num>
  <w:num w:numId="29">
    <w:abstractNumId w:val="24"/>
  </w:num>
  <w:num w:numId="30">
    <w:abstractNumId w:val="33"/>
  </w:num>
  <w:num w:numId="31">
    <w:abstractNumId w:val="7"/>
  </w:num>
  <w:num w:numId="32">
    <w:abstractNumId w:val="16"/>
  </w:num>
  <w:num w:numId="33">
    <w:abstractNumId w:val="2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E"/>
    <w:rsid w:val="00000E88"/>
    <w:rsid w:val="000071D7"/>
    <w:rsid w:val="000166E9"/>
    <w:rsid w:val="00035DDD"/>
    <w:rsid w:val="00076024"/>
    <w:rsid w:val="0008253B"/>
    <w:rsid w:val="00085065"/>
    <w:rsid w:val="00097EAF"/>
    <w:rsid w:val="000D71CC"/>
    <w:rsid w:val="000E06C4"/>
    <w:rsid w:val="000F31F0"/>
    <w:rsid w:val="001244EA"/>
    <w:rsid w:val="00124C6D"/>
    <w:rsid w:val="00125AEE"/>
    <w:rsid w:val="001942D3"/>
    <w:rsid w:val="001C31B9"/>
    <w:rsid w:val="001D1B42"/>
    <w:rsid w:val="001E18CF"/>
    <w:rsid w:val="001E3DFE"/>
    <w:rsid w:val="001E5C5B"/>
    <w:rsid w:val="001E7C56"/>
    <w:rsid w:val="0023755E"/>
    <w:rsid w:val="00237C0B"/>
    <w:rsid w:val="00274E65"/>
    <w:rsid w:val="00294548"/>
    <w:rsid w:val="00297D61"/>
    <w:rsid w:val="00301903"/>
    <w:rsid w:val="00303D94"/>
    <w:rsid w:val="00321654"/>
    <w:rsid w:val="00327276"/>
    <w:rsid w:val="00334D49"/>
    <w:rsid w:val="0035648C"/>
    <w:rsid w:val="00362771"/>
    <w:rsid w:val="00363BB4"/>
    <w:rsid w:val="00366F64"/>
    <w:rsid w:val="0037000B"/>
    <w:rsid w:val="00374354"/>
    <w:rsid w:val="00374AA2"/>
    <w:rsid w:val="00377B5B"/>
    <w:rsid w:val="003A47CC"/>
    <w:rsid w:val="003B7E6E"/>
    <w:rsid w:val="003D4C9D"/>
    <w:rsid w:val="004354BE"/>
    <w:rsid w:val="00440AFE"/>
    <w:rsid w:val="004714F0"/>
    <w:rsid w:val="004820D2"/>
    <w:rsid w:val="004910B3"/>
    <w:rsid w:val="00493ED8"/>
    <w:rsid w:val="004A4AD7"/>
    <w:rsid w:val="004D2577"/>
    <w:rsid w:val="00504D15"/>
    <w:rsid w:val="005109DB"/>
    <w:rsid w:val="00511D7C"/>
    <w:rsid w:val="00520A7E"/>
    <w:rsid w:val="00522F51"/>
    <w:rsid w:val="0052368C"/>
    <w:rsid w:val="00547293"/>
    <w:rsid w:val="00570D98"/>
    <w:rsid w:val="00581F4F"/>
    <w:rsid w:val="00597FE0"/>
    <w:rsid w:val="005F78B0"/>
    <w:rsid w:val="006001F0"/>
    <w:rsid w:val="00616BAB"/>
    <w:rsid w:val="00637491"/>
    <w:rsid w:val="00642462"/>
    <w:rsid w:val="0065184C"/>
    <w:rsid w:val="006C3F74"/>
    <w:rsid w:val="006C5CC5"/>
    <w:rsid w:val="006D2AF3"/>
    <w:rsid w:val="006D63B1"/>
    <w:rsid w:val="00714581"/>
    <w:rsid w:val="00727285"/>
    <w:rsid w:val="00760950"/>
    <w:rsid w:val="0076391E"/>
    <w:rsid w:val="007742D1"/>
    <w:rsid w:val="007B1CB2"/>
    <w:rsid w:val="007C5B94"/>
    <w:rsid w:val="007D68EF"/>
    <w:rsid w:val="0080056A"/>
    <w:rsid w:val="00847F33"/>
    <w:rsid w:val="008A3BB1"/>
    <w:rsid w:val="008B786E"/>
    <w:rsid w:val="008E400D"/>
    <w:rsid w:val="008E49C2"/>
    <w:rsid w:val="008E6640"/>
    <w:rsid w:val="00902833"/>
    <w:rsid w:val="00915ADE"/>
    <w:rsid w:val="00923B4A"/>
    <w:rsid w:val="00944197"/>
    <w:rsid w:val="0096065F"/>
    <w:rsid w:val="00964042"/>
    <w:rsid w:val="0097107A"/>
    <w:rsid w:val="009816D4"/>
    <w:rsid w:val="00981B8B"/>
    <w:rsid w:val="009A5985"/>
    <w:rsid w:val="009B0877"/>
    <w:rsid w:val="009B1578"/>
    <w:rsid w:val="009B2A12"/>
    <w:rsid w:val="009B76B3"/>
    <w:rsid w:val="009C2E3B"/>
    <w:rsid w:val="009C36CB"/>
    <w:rsid w:val="009C47EA"/>
    <w:rsid w:val="009C4B13"/>
    <w:rsid w:val="009D2E9B"/>
    <w:rsid w:val="009E10A3"/>
    <w:rsid w:val="009E461E"/>
    <w:rsid w:val="00A11756"/>
    <w:rsid w:val="00A221FF"/>
    <w:rsid w:val="00A22B24"/>
    <w:rsid w:val="00A2683F"/>
    <w:rsid w:val="00A67F37"/>
    <w:rsid w:val="00A70EA8"/>
    <w:rsid w:val="00AE2E61"/>
    <w:rsid w:val="00AF2E89"/>
    <w:rsid w:val="00B236BD"/>
    <w:rsid w:val="00B57125"/>
    <w:rsid w:val="00B67535"/>
    <w:rsid w:val="00B749DB"/>
    <w:rsid w:val="00B845E4"/>
    <w:rsid w:val="00BB18B7"/>
    <w:rsid w:val="00BC6656"/>
    <w:rsid w:val="00BD5296"/>
    <w:rsid w:val="00BE35DC"/>
    <w:rsid w:val="00BE6482"/>
    <w:rsid w:val="00BF3E2E"/>
    <w:rsid w:val="00BF5A2A"/>
    <w:rsid w:val="00C345DC"/>
    <w:rsid w:val="00C441A9"/>
    <w:rsid w:val="00C454A6"/>
    <w:rsid w:val="00C476C9"/>
    <w:rsid w:val="00C7337A"/>
    <w:rsid w:val="00C84A93"/>
    <w:rsid w:val="00C94ACA"/>
    <w:rsid w:val="00CB75A8"/>
    <w:rsid w:val="00CC0AD8"/>
    <w:rsid w:val="00CD0A93"/>
    <w:rsid w:val="00D1655C"/>
    <w:rsid w:val="00DA3815"/>
    <w:rsid w:val="00DD439D"/>
    <w:rsid w:val="00E23C1B"/>
    <w:rsid w:val="00E36BE0"/>
    <w:rsid w:val="00E53924"/>
    <w:rsid w:val="00E73857"/>
    <w:rsid w:val="00EB0D7B"/>
    <w:rsid w:val="00ED38E1"/>
    <w:rsid w:val="00F11F8C"/>
    <w:rsid w:val="00F230C0"/>
    <w:rsid w:val="00F34060"/>
    <w:rsid w:val="00F3533A"/>
    <w:rsid w:val="00F63B9D"/>
    <w:rsid w:val="00F66496"/>
    <w:rsid w:val="00F74338"/>
    <w:rsid w:val="00FC08D2"/>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77C21"/>
  <w15:chartTrackingRefBased/>
  <w15:docId w15:val="{0E3354EA-5A07-437B-8E82-1894E216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5E4"/>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8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ruhmhs-fp04\Total%20Quality%20Management1\TOTAL%20QUALITY%20MANAGEMENT\2TQM%20Activities\All%20Commit%20to%20Improve\TQM%20Projects\TQM%20project%20data%20analysi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ruhmhs-fp04\Total%20Quality%20Management1\TOTAL%20QUALITY%20MANAGEMENT\2TQM%20Activities\All%20Commit%20to%20Improve\TQM%20Projects\TQM%20project%20data%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sz="1400" b="1" i="0" baseline="0">
                <a:solidFill>
                  <a:schemeClr val="tx1"/>
                </a:solidFill>
                <a:effectLst>
                  <a:outerShdw blurRad="50800" dist="38100" dir="5400000" algn="t" rotWithShape="0">
                    <a:srgbClr val="000000">
                      <a:alpha val="40000"/>
                    </a:srgbClr>
                  </a:outerShdw>
                </a:effectLst>
              </a:rPr>
              <a:t>Timely Action Based Minutes</a:t>
            </a:r>
            <a:endParaRPr lang="en-US" sz="1400" b="1">
              <a:solidFill>
                <a:schemeClr val="tx1"/>
              </a:solidFill>
              <a:effectLst/>
            </a:endParaRPr>
          </a:p>
        </c:rich>
      </c:tx>
      <c:layout>
        <c:manualLayout>
          <c:xMode val="edge"/>
          <c:yMode val="edge"/>
          <c:x val="0.16075949367088607"/>
          <c:y val="1.6996524083138236E-3"/>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'\\ruhmhs-fp04\Total Quality Management1\TOTAL QUALITY MANAGEMENT\2TQM Activities\All Commit to Improve\TQM Projects\[Copy of 1TQM MOM Logsheet.xlsx]Sheet1 (2)'!$J$23</c:f>
              <c:strCache>
                <c:ptCount val="1"/>
                <c:pt idx="0">
                  <c:v>Number</c:v>
                </c:pt>
              </c:strCache>
            </c:strRef>
          </c:tx>
          <c:dPt>
            <c:idx val="0"/>
            <c:bubble3D val="0"/>
            <c:spPr>
              <a:solidFill>
                <a:srgbClr val="00B05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F4EA-4B70-85A2-26223C96969D}"/>
              </c:ext>
            </c:extLst>
          </c:dPt>
          <c:dPt>
            <c:idx val="1"/>
            <c:bubble3D val="0"/>
            <c:spPr>
              <a:solidFill>
                <a:srgbClr val="FF0000"/>
              </a:soli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F4EA-4B70-85A2-26223C96969D}"/>
              </c:ext>
            </c:extLst>
          </c:dPt>
          <c:dLbls>
            <c:dLbl>
              <c:idx val="0"/>
              <c:layout>
                <c:manualLayout>
                  <c:x val="-0.12716502209375727"/>
                  <c:y val="-0.20290001485663361"/>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4EA-4B70-85A2-26223C96969D}"/>
                </c:ext>
              </c:extLst>
            </c:dLbl>
            <c:dLbl>
              <c:idx val="1"/>
              <c:layout>
                <c:manualLayout>
                  <c:x val="0.11409183029336518"/>
                  <c:y val="6.2862873272916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4EA-4B70-85A2-26223C96969D}"/>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'[1]Sheet1 (2)'!$I$24:$I$26</c:f>
              <c:strCache>
                <c:ptCount val="2"/>
                <c:pt idx="0">
                  <c:v>&lt; 24 hrs</c:v>
                </c:pt>
                <c:pt idx="1">
                  <c:v>&gt; 24 hrs</c:v>
                </c:pt>
              </c:strCache>
              <c:extLst/>
            </c:strRef>
          </c:cat>
          <c:val>
            <c:numRef>
              <c:f>'[1]Sheet1 (2)'!$J$24:$J$26</c:f>
              <c:numCache>
                <c:formatCode>General</c:formatCode>
                <c:ptCount val="2"/>
                <c:pt idx="0">
                  <c:v>18</c:v>
                </c:pt>
                <c:pt idx="1">
                  <c:v>5</c:v>
                </c:pt>
              </c:numCache>
              <c:extLst/>
            </c:numRef>
          </c:val>
          <c:extLst>
            <c:ext xmlns:c16="http://schemas.microsoft.com/office/drawing/2014/chart" uri="{C3380CC4-5D6E-409C-BE32-E72D297353CC}">
              <c16:uniqueId val="{00000004-F4EA-4B70-85A2-26223C96969D}"/>
            </c:ext>
          </c:extLst>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19050">
      <a:solidFill>
        <a:srgbClr val="239D46">
          <a:shade val="50000"/>
        </a:srgbClr>
      </a:solidFill>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100" baseline="0">
                <a:solidFill>
                  <a:schemeClr val="tx1"/>
                </a:solidFill>
                <a:effectLst>
                  <a:outerShdw blurRad="50800" dist="38100" dir="5400000" algn="t" rotWithShape="0">
                    <a:prstClr val="black">
                      <a:alpha val="40000"/>
                    </a:prstClr>
                  </a:outerShdw>
                </a:effectLst>
                <a:latin typeface="+mn-lt"/>
                <a:ea typeface="+mn-ea"/>
                <a:cs typeface="+mn-cs"/>
              </a:defRPr>
            </a:pPr>
            <a:r>
              <a:rPr lang="en-US" sz="1400">
                <a:solidFill>
                  <a:schemeClr val="tx1"/>
                </a:solidFill>
              </a:rPr>
              <a:t>Delay Reasons</a:t>
            </a:r>
          </a:p>
        </c:rich>
      </c:tx>
      <c:overlay val="0"/>
      <c:spPr>
        <a:noFill/>
        <a:ln>
          <a:noFill/>
        </a:ln>
        <a:effectLst/>
      </c:spPr>
      <c:txPr>
        <a:bodyPr rot="0" spcFirstLastPara="1" vertOverflow="ellipsis" vert="horz" wrap="square" anchor="ctr" anchorCtr="1"/>
        <a:lstStyle/>
        <a:p>
          <a:pPr>
            <a:defRPr sz="1400" b="1" i="0" u="none" strike="noStrike" kern="1200" spc="100" baseline="0">
              <a:solidFill>
                <a:schemeClr val="tx1"/>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'[1]Sheet1 (2)'!$K$8:$K$10</c:f>
              <c:strCache>
                <c:ptCount val="3"/>
                <c:pt idx="0">
                  <c:v>Delayed response from members</c:v>
                </c:pt>
                <c:pt idx="1">
                  <c:v>Other secretarial duties</c:v>
                </c:pt>
                <c:pt idx="2">
                  <c:v>
Technical issues</c:v>
                </c:pt>
              </c:strCache>
            </c:strRef>
          </c:cat>
          <c:val>
            <c:numRef>
              <c:f>'[1]Sheet1 (2)'!$L$8:$L$10</c:f>
              <c:numCache>
                <c:formatCode>General</c:formatCode>
                <c:ptCount val="3"/>
                <c:pt idx="0">
                  <c:v>2</c:v>
                </c:pt>
                <c:pt idx="1">
                  <c:v>2</c:v>
                </c:pt>
                <c:pt idx="2">
                  <c:v>1</c:v>
                </c:pt>
              </c:numCache>
            </c:numRef>
          </c:val>
          <c:extLst>
            <c:ext xmlns:c16="http://schemas.microsoft.com/office/drawing/2014/chart" uri="{C3380CC4-5D6E-409C-BE32-E72D297353CC}">
              <c16:uniqueId val="{00000000-9749-4FEE-AA1E-0FEA59F47D1F}"/>
            </c:ext>
          </c:extLst>
        </c:ser>
        <c:dLbls>
          <c:showLegendKey val="0"/>
          <c:showVal val="0"/>
          <c:showCatName val="0"/>
          <c:showSerName val="0"/>
          <c:showPercent val="0"/>
          <c:showBubbleSize val="0"/>
        </c:dLbls>
        <c:gapWidth val="150"/>
        <c:shape val="box"/>
        <c:axId val="390787744"/>
        <c:axId val="390792784"/>
        <c:axId val="0"/>
      </c:bar3DChart>
      <c:catAx>
        <c:axId val="3907877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solidFill>
                <a:latin typeface="+mn-lt"/>
                <a:ea typeface="+mn-ea"/>
                <a:cs typeface="+mn-cs"/>
              </a:defRPr>
            </a:pPr>
            <a:endParaRPr lang="en-US"/>
          </a:p>
        </c:txPr>
        <c:crossAx val="390792784"/>
        <c:crosses val="autoZero"/>
        <c:auto val="1"/>
        <c:lblAlgn val="ctr"/>
        <c:lblOffset val="100"/>
        <c:noMultiLvlLbl val="0"/>
      </c:catAx>
      <c:valAx>
        <c:axId val="390792784"/>
        <c:scaling>
          <c:orientation val="minMax"/>
          <c:max val="3"/>
        </c:scaling>
        <c:delete val="0"/>
        <c:axPos val="b"/>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90787744"/>
        <c:crosses val="autoZero"/>
        <c:crossBetween val="between"/>
        <c:majorUnit val="1"/>
      </c:valAx>
      <c:spPr>
        <a:noFill/>
        <a:ln>
          <a:noFill/>
        </a:ln>
        <a:effectLst/>
      </c:spPr>
    </c:plotArea>
    <c:plotVisOnly val="1"/>
    <c:dispBlanksAs val="gap"/>
    <c:showDLblsOverMax val="0"/>
  </c:chart>
  <c:spPr>
    <a:noFill/>
    <a:ln w="19050">
      <a:solidFill>
        <a:schemeClr val="accent1">
          <a:shade val="50000"/>
        </a:schemeClr>
      </a:solid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tx1"/>
                </a:solidFill>
                <a:effectLst>
                  <a:outerShdw blurRad="50800" dist="38100" dir="5400000" algn="t" rotWithShape="0">
                    <a:prstClr val="black">
                      <a:alpha val="40000"/>
                    </a:prstClr>
                  </a:outerShdw>
                </a:effectLst>
                <a:latin typeface="+mn-lt"/>
                <a:ea typeface="+mn-ea"/>
                <a:cs typeface="+mn-cs"/>
              </a:defRPr>
            </a:pPr>
            <a:r>
              <a:rPr lang="en-US">
                <a:solidFill>
                  <a:schemeClr val="tx1"/>
                </a:solidFill>
              </a:rPr>
              <a:t>CPIC Meeting</a:t>
            </a:r>
            <a:r>
              <a:rPr lang="en-US" baseline="0">
                <a:solidFill>
                  <a:schemeClr val="tx1"/>
                </a:solidFill>
              </a:rPr>
              <a:t> Actions Tracking</a:t>
            </a:r>
            <a:endParaRPr lang="en-US">
              <a:solidFill>
                <a:schemeClr val="tx1"/>
              </a:solidFill>
            </a:endParaRP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tx1"/>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lineChart>
        <c:grouping val="standard"/>
        <c:varyColors val="0"/>
        <c:ser>
          <c:idx val="0"/>
          <c:order val="0"/>
          <c:tx>
            <c:strRef>
              <c:f>'March 2016 Actions '!$A$10</c:f>
              <c:strCache>
                <c:ptCount val="1"/>
                <c:pt idx="0">
                  <c:v>% Complete</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cat>
            <c:strRef>
              <c:f>'March 2016 Actions '!$B$9:$D$9</c:f>
              <c:strCache>
                <c:ptCount val="3"/>
                <c:pt idx="0">
                  <c:v>Oct-16 Meeting</c:v>
                </c:pt>
                <c:pt idx="1">
                  <c:v>May-17 Meeting</c:v>
                </c:pt>
                <c:pt idx="2">
                  <c:v>Oct- 17 Meeting</c:v>
                </c:pt>
              </c:strCache>
            </c:strRef>
          </c:cat>
          <c:val>
            <c:numRef>
              <c:f>'March 2016 Actions '!$B$10:$D$10</c:f>
              <c:numCache>
                <c:formatCode>0%</c:formatCode>
                <c:ptCount val="3"/>
                <c:pt idx="0">
                  <c:v>0.46</c:v>
                </c:pt>
                <c:pt idx="1">
                  <c:v>0.68</c:v>
                </c:pt>
                <c:pt idx="2">
                  <c:v>0.73</c:v>
                </c:pt>
              </c:numCache>
            </c:numRef>
          </c:val>
          <c:smooth val="0"/>
          <c:extLst>
            <c:ext xmlns:c16="http://schemas.microsoft.com/office/drawing/2014/chart" uri="{C3380CC4-5D6E-409C-BE32-E72D297353CC}">
              <c16:uniqueId val="{00000000-5CC4-4D90-841A-B8540F210EF4}"/>
            </c:ext>
          </c:extLst>
        </c:ser>
        <c:ser>
          <c:idx val="1"/>
          <c:order val="1"/>
          <c:tx>
            <c:strRef>
              <c:f>'March 2016 Actions '!$A$11</c:f>
              <c:strCache>
                <c:ptCount val="1"/>
                <c:pt idx="0">
                  <c:v>% Complete on DueTime</c:v>
                </c:pt>
              </c:strCache>
            </c:strRef>
          </c:tx>
          <c:spPr>
            <a:ln w="34925" cap="rnd">
              <a:solidFill>
                <a:srgbClr val="00B050"/>
              </a:solidFill>
              <a:round/>
            </a:ln>
            <a:effectLst>
              <a:outerShdw blurRad="40000" dist="23000" dir="5400000" rotWithShape="0">
                <a:srgbClr val="000000">
                  <a:alpha val="35000"/>
                </a:srgbClr>
              </a:outerShdw>
            </a:effectLst>
          </c:spPr>
          <c:marker>
            <c:symbol val="none"/>
          </c:marker>
          <c:cat>
            <c:strRef>
              <c:f>'March 2016 Actions '!$B$9:$D$9</c:f>
              <c:strCache>
                <c:ptCount val="3"/>
                <c:pt idx="0">
                  <c:v>Oct-16 Meeting</c:v>
                </c:pt>
                <c:pt idx="1">
                  <c:v>May-17 Meeting</c:v>
                </c:pt>
                <c:pt idx="2">
                  <c:v>Oct- 17 Meeting</c:v>
                </c:pt>
              </c:strCache>
            </c:strRef>
          </c:cat>
          <c:val>
            <c:numRef>
              <c:f>'March 2016 Actions '!$B$11:$D$11</c:f>
              <c:numCache>
                <c:formatCode>0%</c:formatCode>
                <c:ptCount val="3"/>
                <c:pt idx="0">
                  <c:v>0.23</c:v>
                </c:pt>
                <c:pt idx="1">
                  <c:v>0.33</c:v>
                </c:pt>
                <c:pt idx="2">
                  <c:v>0.5</c:v>
                </c:pt>
              </c:numCache>
            </c:numRef>
          </c:val>
          <c:smooth val="0"/>
          <c:extLst>
            <c:ext xmlns:c16="http://schemas.microsoft.com/office/drawing/2014/chart" uri="{C3380CC4-5D6E-409C-BE32-E72D297353CC}">
              <c16:uniqueId val="{00000001-5CC4-4D90-841A-B8540F210EF4}"/>
            </c:ext>
          </c:extLst>
        </c:ser>
        <c:dLbls>
          <c:showLegendKey val="0"/>
          <c:showVal val="0"/>
          <c:showCatName val="0"/>
          <c:showSerName val="0"/>
          <c:showPercent val="0"/>
          <c:showBubbleSize val="0"/>
        </c:dLbls>
        <c:smooth val="0"/>
        <c:axId val="399583552"/>
        <c:axId val="399586352"/>
      </c:lineChart>
      <c:catAx>
        <c:axId val="399583552"/>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399586352"/>
        <c:crosses val="autoZero"/>
        <c:auto val="1"/>
        <c:lblAlgn val="ctr"/>
        <c:lblOffset val="100"/>
        <c:noMultiLvlLbl val="0"/>
      </c:catAx>
      <c:valAx>
        <c:axId val="399586352"/>
        <c:scaling>
          <c:orientation val="minMax"/>
          <c:max val="1"/>
          <c:min val="0.1"/>
        </c:scaling>
        <c:delete val="0"/>
        <c:axPos val="l"/>
        <c:majorGridlines>
          <c:spPr>
            <a:ln w="25400" cap="flat" cmpd="sng" algn="ctr">
              <a:solidFill>
                <a:srgbClr val="00B472">
                  <a:lumMod val="50000"/>
                  <a:alpha val="10000"/>
                </a:srgb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399583552"/>
        <c:crosses val="autoZero"/>
        <c:crossBetween val="between"/>
        <c:majorUnit val="0.1"/>
      </c:valAx>
      <c:spPr>
        <a:noFill/>
        <a:ln>
          <a:noFill/>
        </a:ln>
        <a:effectLst/>
      </c:spPr>
    </c:plotArea>
    <c:legend>
      <c:legendPos val="b"/>
      <c:layout>
        <c:manualLayout>
          <c:xMode val="edge"/>
          <c:yMode val="edge"/>
          <c:x val="0.11396386498199355"/>
          <c:y val="0.90236857772970069"/>
          <c:w val="0.75075428798144428"/>
          <c:h val="9.7631422270299278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19050">
      <a:solidFill>
        <a:srgbClr val="00B472">
          <a:lumMod val="50000"/>
        </a:srgbClr>
      </a:solidFill>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0.25833</cdr:x>
      <cdr:y>0.875</cdr:y>
    </cdr:from>
    <cdr:to>
      <cdr:x>0.68542</cdr:x>
      <cdr:y>0.92361</cdr:y>
    </cdr:to>
    <cdr:sp macro="" textlink="">
      <cdr:nvSpPr>
        <cdr:cNvPr id="2" name="TextBox 1"/>
        <cdr:cNvSpPr txBox="1"/>
      </cdr:nvSpPr>
      <cdr:spPr>
        <a:xfrm xmlns:a="http://schemas.openxmlformats.org/drawingml/2006/main">
          <a:off x="1181100" y="2400300"/>
          <a:ext cx="1952625"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0.2006</cdr:x>
      <cdr:y>0.8629</cdr:y>
    </cdr:from>
    <cdr:to>
      <cdr:x>0.57784</cdr:x>
      <cdr:y>0.96847</cdr:y>
    </cdr:to>
    <cdr:sp macro="" textlink="">
      <cdr:nvSpPr>
        <cdr:cNvPr id="3" name="TextBox 2"/>
        <cdr:cNvSpPr txBox="1"/>
      </cdr:nvSpPr>
      <cdr:spPr>
        <a:xfrm xmlns:a="http://schemas.openxmlformats.org/drawingml/2006/main">
          <a:off x="638175" y="1824640"/>
          <a:ext cx="1200150" cy="2232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b="0">
              <a:solidFill>
                <a:schemeClr val="bg1"/>
              </a:solidFill>
            </a:rPr>
            <a:t>Number of meeting = 23 Meetings</a:t>
          </a:r>
        </a:p>
      </cdr:txBody>
    </cdr:sp>
  </cdr:relSizeAnchor>
</c:userShapes>
</file>

<file path=word/drawings/drawing2.xml><?xml version="1.0" encoding="utf-8"?>
<c:userShapes xmlns:c="http://schemas.openxmlformats.org/drawingml/2006/chart">
  <cdr:relSizeAnchor xmlns:cdr="http://schemas.openxmlformats.org/drawingml/2006/chartDrawing">
    <cdr:from>
      <cdr:x>0.15521</cdr:x>
      <cdr:y>0.61353</cdr:y>
    </cdr:from>
    <cdr:to>
      <cdr:x>0.28021</cdr:x>
      <cdr:y>0.70728</cdr:y>
    </cdr:to>
    <cdr:sp macro="" textlink="">
      <cdr:nvSpPr>
        <cdr:cNvPr id="2" name="Text Box 1"/>
        <cdr:cNvSpPr txBox="1"/>
      </cdr:nvSpPr>
      <cdr:spPr>
        <a:xfrm xmlns:a="http://schemas.openxmlformats.org/drawingml/2006/main">
          <a:off x="1017103" y="1829126"/>
          <a:ext cx="819150" cy="2794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600" b="1">
              <a:solidFill>
                <a:schemeClr val="bg1"/>
              </a:solidFill>
            </a:rPr>
            <a:t>23%</a:t>
          </a:r>
        </a:p>
      </cdr:txBody>
    </cdr:sp>
  </cdr:relSizeAnchor>
  <cdr:relSizeAnchor xmlns:cdr="http://schemas.openxmlformats.org/drawingml/2006/chartDrawing">
    <cdr:from>
      <cdr:x>0.15223</cdr:x>
      <cdr:y>0.46536</cdr:y>
    </cdr:from>
    <cdr:to>
      <cdr:x>0.27723</cdr:x>
      <cdr:y>0.55911</cdr:y>
    </cdr:to>
    <cdr:sp macro="" textlink="">
      <cdr:nvSpPr>
        <cdr:cNvPr id="3" name="Text Box 1"/>
        <cdr:cNvSpPr txBox="1"/>
      </cdr:nvSpPr>
      <cdr:spPr>
        <a:xfrm xmlns:a="http://schemas.openxmlformats.org/drawingml/2006/main">
          <a:off x="997601" y="1387376"/>
          <a:ext cx="819150" cy="2794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600" b="1">
              <a:solidFill>
                <a:schemeClr val="bg1"/>
              </a:solidFill>
            </a:rPr>
            <a:t>46%</a:t>
          </a:r>
          <a:r>
            <a:rPr lang="en-US" sz="1600"/>
            <a:t> </a:t>
          </a:r>
        </a:p>
      </cdr:txBody>
    </cdr:sp>
  </cdr:relSizeAnchor>
  <cdr:relSizeAnchor xmlns:cdr="http://schemas.openxmlformats.org/drawingml/2006/chartDrawing">
    <cdr:from>
      <cdr:x>0.14395</cdr:x>
      <cdr:y>0.64468</cdr:y>
    </cdr:from>
    <cdr:to>
      <cdr:x>0.26895</cdr:x>
      <cdr:y>0.73843</cdr:y>
    </cdr:to>
    <cdr:sp macro="" textlink="">
      <cdr:nvSpPr>
        <cdr:cNvPr id="4" name="Text Box 1"/>
        <cdr:cNvSpPr txBox="1"/>
      </cdr:nvSpPr>
      <cdr:spPr>
        <a:xfrm xmlns:a="http://schemas.openxmlformats.org/drawingml/2006/main">
          <a:off x="932384" y="1768482"/>
          <a:ext cx="809625" cy="257175"/>
        </a:xfrm>
        <a:prstGeom xmlns:a="http://schemas.openxmlformats.org/drawingml/2006/main" prst="rect">
          <a:avLst/>
        </a:prstGeom>
      </cdr:spPr>
    </cdr:sp>
  </cdr:relSizeAnchor>
  <cdr:relSizeAnchor xmlns:cdr="http://schemas.openxmlformats.org/drawingml/2006/chartDrawing">
    <cdr:from>
      <cdr:x>0.13215</cdr:x>
      <cdr:y>0.44792</cdr:y>
    </cdr:from>
    <cdr:to>
      <cdr:x>0.25715</cdr:x>
      <cdr:y>0.54167</cdr:y>
    </cdr:to>
    <cdr:sp macro="" textlink="">
      <cdr:nvSpPr>
        <cdr:cNvPr id="5" name="Text Box 1"/>
        <cdr:cNvSpPr txBox="1"/>
      </cdr:nvSpPr>
      <cdr:spPr>
        <a:xfrm xmlns:a="http://schemas.openxmlformats.org/drawingml/2006/main">
          <a:off x="855956" y="1228730"/>
          <a:ext cx="809625" cy="257175"/>
        </a:xfrm>
        <a:prstGeom xmlns:a="http://schemas.openxmlformats.org/drawingml/2006/main" prst="rect">
          <a:avLst/>
        </a:prstGeom>
      </cdr:spPr>
    </cdr:sp>
  </cdr:relSizeAnchor>
  <cdr:relSizeAnchor xmlns:cdr="http://schemas.openxmlformats.org/drawingml/2006/chartDrawing">
    <cdr:from>
      <cdr:x>0.7748</cdr:x>
      <cdr:y>0.21528</cdr:y>
    </cdr:from>
    <cdr:to>
      <cdr:x>0.8998</cdr:x>
      <cdr:y>0.30903</cdr:y>
    </cdr:to>
    <cdr:sp macro="" textlink="">
      <cdr:nvSpPr>
        <cdr:cNvPr id="6" name="Text Box 1"/>
        <cdr:cNvSpPr txBox="1"/>
      </cdr:nvSpPr>
      <cdr:spPr>
        <a:xfrm xmlns:a="http://schemas.openxmlformats.org/drawingml/2006/main">
          <a:off x="5018381" y="590555"/>
          <a:ext cx="809625" cy="257175"/>
        </a:xfrm>
        <a:prstGeom xmlns:a="http://schemas.openxmlformats.org/drawingml/2006/main" prst="rect">
          <a:avLst/>
        </a:prstGeom>
      </cdr:spPr>
    </cdr:sp>
  </cdr:relSizeAnchor>
  <cdr:relSizeAnchor xmlns:cdr="http://schemas.openxmlformats.org/drawingml/2006/chartDrawing">
    <cdr:from>
      <cdr:x>0.81295</cdr:x>
      <cdr:y>0.2507</cdr:y>
    </cdr:from>
    <cdr:to>
      <cdr:x>0.91736</cdr:x>
      <cdr:y>0.33751</cdr:y>
    </cdr:to>
    <cdr:sp macro="" textlink="">
      <cdr:nvSpPr>
        <cdr:cNvPr id="7" name="Text Box 6"/>
        <cdr:cNvSpPr txBox="1"/>
      </cdr:nvSpPr>
      <cdr:spPr>
        <a:xfrm xmlns:a="http://schemas.openxmlformats.org/drawingml/2006/main">
          <a:off x="5327419" y="747415"/>
          <a:ext cx="684220" cy="2588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solidFill>
                <a:schemeClr val="bg1"/>
              </a:solidFill>
            </a:rPr>
            <a:t>82%</a:t>
          </a:r>
        </a:p>
      </cdr:txBody>
    </cdr:sp>
  </cdr:relSizeAnchor>
  <cdr:relSizeAnchor xmlns:cdr="http://schemas.openxmlformats.org/drawingml/2006/chartDrawing">
    <cdr:from>
      <cdr:x>0.78873</cdr:x>
      <cdr:y>0.40394</cdr:y>
    </cdr:from>
    <cdr:to>
      <cdr:x>0.89314</cdr:x>
      <cdr:y>0.49074</cdr:y>
    </cdr:to>
    <cdr:sp macro="" textlink="">
      <cdr:nvSpPr>
        <cdr:cNvPr id="8" name="Text Box 1"/>
        <cdr:cNvSpPr txBox="1"/>
      </cdr:nvSpPr>
      <cdr:spPr>
        <a:xfrm xmlns:a="http://schemas.openxmlformats.org/drawingml/2006/main">
          <a:off x="5108575" y="1108075"/>
          <a:ext cx="676275" cy="238125"/>
        </a:xfrm>
        <a:prstGeom xmlns:a="http://schemas.openxmlformats.org/drawingml/2006/main" prst="rect">
          <a:avLst/>
        </a:prstGeom>
      </cdr:spPr>
    </cdr:sp>
  </cdr:relSizeAnchor>
  <cdr:relSizeAnchor xmlns:cdr="http://schemas.openxmlformats.org/drawingml/2006/chartDrawing">
    <cdr:from>
      <cdr:x>0.81924</cdr:x>
      <cdr:y>0.39451</cdr:y>
    </cdr:from>
    <cdr:to>
      <cdr:x>0.9163</cdr:x>
      <cdr:y>0.49521</cdr:y>
    </cdr:to>
    <cdr:sp macro="" textlink="">
      <cdr:nvSpPr>
        <cdr:cNvPr id="9" name="Text Box 8"/>
        <cdr:cNvSpPr txBox="1"/>
      </cdr:nvSpPr>
      <cdr:spPr>
        <a:xfrm xmlns:a="http://schemas.openxmlformats.org/drawingml/2006/main">
          <a:off x="5368615" y="1176156"/>
          <a:ext cx="636053" cy="30021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1">
              <a:solidFill>
                <a:schemeClr val="bg1"/>
              </a:solidFill>
            </a:rPr>
            <a:t>55%</a:t>
          </a:r>
        </a:p>
      </cdr:txBody>
    </cdr:sp>
  </cdr:relSizeAnchor>
  <cdr:relSizeAnchor xmlns:cdr="http://schemas.openxmlformats.org/drawingml/2006/chartDrawing">
    <cdr:from>
      <cdr:x>0.58873</cdr:x>
      <cdr:y>0.42708</cdr:y>
    </cdr:from>
    <cdr:to>
      <cdr:x>0.72108</cdr:x>
      <cdr:y>0.55556</cdr:y>
    </cdr:to>
    <cdr:sp macro="" textlink="">
      <cdr:nvSpPr>
        <cdr:cNvPr id="11" name="Text Box 8"/>
        <cdr:cNvSpPr txBox="1"/>
      </cdr:nvSpPr>
      <cdr:spPr>
        <a:xfrm xmlns:a="http://schemas.openxmlformats.org/drawingml/2006/main">
          <a:off x="3813175" y="1171575"/>
          <a:ext cx="857250" cy="35242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sp>
  </cdr:relSizeAnchor>
  <cdr:relSizeAnchor xmlns:cdr="http://schemas.openxmlformats.org/drawingml/2006/chartDrawing">
    <cdr:from>
      <cdr:x>0.54913</cdr:x>
      <cdr:y>0.46779</cdr:y>
    </cdr:from>
    <cdr:to>
      <cdr:x>0.57413</cdr:x>
      <cdr:y>0.56154</cdr:y>
    </cdr:to>
    <cdr:sp macro="" textlink="">
      <cdr:nvSpPr>
        <cdr:cNvPr id="12" name="Up Arrow 11"/>
        <cdr:cNvSpPr/>
      </cdr:nvSpPr>
      <cdr:spPr>
        <a:xfrm xmlns:a="http://schemas.openxmlformats.org/drawingml/2006/main" flipH="1">
          <a:off x="3598559" y="1394636"/>
          <a:ext cx="163830" cy="279499"/>
        </a:xfrm>
        <a:prstGeom xmlns:a="http://schemas.openxmlformats.org/drawingml/2006/main" prst="upArrow">
          <a:avLst/>
        </a:prstGeom>
        <a:solidFill xmlns:a="http://schemas.openxmlformats.org/drawingml/2006/main">
          <a:srgbClr val="00B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sp>
  </cdr:relSizeAnchor>
  <cdr:relSizeAnchor xmlns:cdr="http://schemas.openxmlformats.org/drawingml/2006/chartDrawing">
    <cdr:from>
      <cdr:x>0.08285</cdr:x>
      <cdr:y>0.623</cdr:y>
    </cdr:from>
    <cdr:to>
      <cdr:x>0.76163</cdr:x>
      <cdr:y>0.623</cdr:y>
    </cdr:to>
    <cdr:cxnSp macro="">
      <cdr:nvCxnSpPr>
        <cdr:cNvPr id="22" name="Straight Connector 21"/>
        <cdr:cNvCxnSpPr/>
      </cdr:nvCxnSpPr>
      <cdr:spPr>
        <a:xfrm xmlns:a="http://schemas.openxmlformats.org/drawingml/2006/main">
          <a:off x="542925" y="1857375"/>
          <a:ext cx="4448175" cy="1"/>
        </a:xfrm>
        <a:prstGeom xmlns:a="http://schemas.openxmlformats.org/drawingml/2006/main" prst="line">
          <a:avLst/>
        </a:prstGeom>
        <a:ln xmlns:a="http://schemas.openxmlformats.org/drawingml/2006/main" w="12700">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0.76179</cdr:x>
      <cdr:y>0.54056</cdr:y>
    </cdr:from>
    <cdr:to>
      <cdr:x>0.9662</cdr:x>
      <cdr:y>0.70607</cdr:y>
    </cdr:to>
    <cdr:sp macro="" textlink="">
      <cdr:nvSpPr>
        <cdr:cNvPr id="23" name="Left Arrow Callout 22"/>
        <cdr:cNvSpPr/>
      </cdr:nvSpPr>
      <cdr:spPr>
        <a:xfrm xmlns:a="http://schemas.openxmlformats.org/drawingml/2006/main">
          <a:off x="4992139" y="1611584"/>
          <a:ext cx="1339540" cy="493439"/>
        </a:xfrm>
        <a:prstGeom xmlns:a="http://schemas.openxmlformats.org/drawingml/2006/main" prst="leftArrowCallout">
          <a:avLst/>
        </a:prstGeom>
        <a:solidFill xmlns:a="http://schemas.openxmlformats.org/drawingml/2006/main">
          <a:srgbClr val="FF0000"/>
        </a:solidFill>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en-US" sz="1050" b="1">
              <a:solidFill>
                <a:schemeClr val="bg1"/>
              </a:solidFill>
            </a:rPr>
            <a:t>Target is 30%</a:t>
          </a:r>
        </a:p>
      </cdr:txBody>
    </cdr:sp>
  </cdr:relSizeAnchor>
  <cdr:relSizeAnchor xmlns:cdr="http://schemas.openxmlformats.org/drawingml/2006/chartDrawing">
    <cdr:from>
      <cdr:x>0.56841</cdr:x>
      <cdr:y>0.45367</cdr:y>
    </cdr:from>
    <cdr:to>
      <cdr:x>0.74719</cdr:x>
      <cdr:y>0.623</cdr:y>
    </cdr:to>
    <cdr:sp macro="" textlink="">
      <cdr:nvSpPr>
        <cdr:cNvPr id="14" name="Text Box 11"/>
        <cdr:cNvSpPr txBox="1"/>
      </cdr:nvSpPr>
      <cdr:spPr>
        <a:xfrm xmlns:a="http://schemas.openxmlformats.org/drawingml/2006/main">
          <a:off x="3724910" y="1352550"/>
          <a:ext cx="1171575" cy="50482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marL="0" marR="0">
            <a:lnSpc>
              <a:spcPct val="107000"/>
            </a:lnSpc>
            <a:spcBef>
              <a:spcPts val="0"/>
            </a:spcBef>
            <a:spcAft>
              <a:spcPts val="800"/>
            </a:spcAft>
          </a:pPr>
          <a:r>
            <a:rPr lang="en-US" sz="1400" b="1">
              <a:solidFill>
                <a:schemeClr val="accent6">
                  <a:lumMod val="50000"/>
                </a:schemeClr>
              </a:solidFill>
              <a:effectLst/>
              <a:ea typeface="Calibri" panose="020F0502020204030204" pitchFamily="34" charset="0"/>
              <a:cs typeface="Arial" panose="020B0604020202020204" pitchFamily="34" charset="0"/>
            </a:rPr>
            <a:t>41% increase </a:t>
          </a:r>
          <a:endParaRPr lang="en-US" sz="1100">
            <a:solidFill>
              <a:schemeClr val="accent6">
                <a:lumMod val="50000"/>
              </a:schemeClr>
            </a:solidFill>
            <a:effectLst/>
            <a:ea typeface="Calibri" panose="020F0502020204030204" pitchFamily="34" charset="0"/>
            <a:cs typeface="Arial" panose="020B0604020202020204" pitchFamily="34" charset="0"/>
          </a:endParaRPr>
        </a:p>
      </cdr:txBody>
    </cdr:sp>
  </cdr:relSizeAnchor>
  <cdr:relSizeAnchor xmlns:cdr="http://schemas.openxmlformats.org/drawingml/2006/chartDrawing">
    <cdr:from>
      <cdr:x>0.56696</cdr:x>
      <cdr:y>0.26518</cdr:y>
    </cdr:from>
    <cdr:to>
      <cdr:x>0.74574</cdr:x>
      <cdr:y>0.4345</cdr:y>
    </cdr:to>
    <cdr:sp macro="" textlink="">
      <cdr:nvSpPr>
        <cdr:cNvPr id="15" name="Text Box 11"/>
        <cdr:cNvSpPr txBox="1"/>
      </cdr:nvSpPr>
      <cdr:spPr>
        <a:xfrm xmlns:a="http://schemas.openxmlformats.org/drawingml/2006/main">
          <a:off x="3715385" y="790575"/>
          <a:ext cx="1171575" cy="50482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marL="0" marR="0">
            <a:lnSpc>
              <a:spcPct val="107000"/>
            </a:lnSpc>
            <a:spcBef>
              <a:spcPts val="0"/>
            </a:spcBef>
            <a:spcAft>
              <a:spcPts val="800"/>
            </a:spcAft>
          </a:pPr>
          <a:r>
            <a:rPr lang="en-US" sz="1400" b="1">
              <a:solidFill>
                <a:schemeClr val="accent6">
                  <a:lumMod val="50000"/>
                </a:schemeClr>
              </a:solidFill>
              <a:effectLst/>
              <a:ea typeface="Calibri" panose="020F0502020204030204" pitchFamily="34" charset="0"/>
              <a:cs typeface="Arial" panose="020B0604020202020204" pitchFamily="34" charset="0"/>
            </a:rPr>
            <a:t>43% increase </a:t>
          </a:r>
          <a:endParaRPr lang="en-US" sz="1100">
            <a:solidFill>
              <a:schemeClr val="accent6">
                <a:lumMod val="50000"/>
              </a:schemeClr>
            </a:solidFill>
            <a:effectLst/>
            <a:ea typeface="Calibri" panose="020F0502020204030204" pitchFamily="34" charset="0"/>
            <a:cs typeface="Arial" panose="020B0604020202020204" pitchFamily="34" charset="0"/>
          </a:endParaRPr>
        </a:p>
      </cdr:txBody>
    </cdr:sp>
  </cdr:relSizeAnchor>
  <cdr:relSizeAnchor xmlns:cdr="http://schemas.openxmlformats.org/drawingml/2006/chartDrawing">
    <cdr:from>
      <cdr:x>0.54961</cdr:x>
      <cdr:y>0.26438</cdr:y>
    </cdr:from>
    <cdr:to>
      <cdr:x>0.57461</cdr:x>
      <cdr:y>0.35813</cdr:y>
    </cdr:to>
    <cdr:sp macro="" textlink="">
      <cdr:nvSpPr>
        <cdr:cNvPr id="16" name="Up Arrow 15"/>
        <cdr:cNvSpPr/>
      </cdr:nvSpPr>
      <cdr:spPr>
        <a:xfrm xmlns:a="http://schemas.openxmlformats.org/drawingml/2006/main" flipH="1">
          <a:off x="3601734" y="788211"/>
          <a:ext cx="163830" cy="279499"/>
        </a:xfrm>
        <a:prstGeom xmlns:a="http://schemas.openxmlformats.org/drawingml/2006/main" prst="upArrow">
          <a:avLst/>
        </a:prstGeom>
        <a:solidFill xmlns:a="http://schemas.openxmlformats.org/drawingml/2006/main">
          <a:schemeClr val="accent1">
            <a:lumMod val="75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n-US"/>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8ED80BC991498787523AB3EAFE7885"/>
        <w:category>
          <w:name w:val="General"/>
          <w:gallery w:val="placeholder"/>
        </w:category>
        <w:types>
          <w:type w:val="bbPlcHdr"/>
        </w:types>
        <w:behaviors>
          <w:behavior w:val="content"/>
        </w:behaviors>
        <w:guid w:val="{A92DFC97-FFB1-4BFC-9C28-5AFC1DDEA09A}"/>
      </w:docPartPr>
      <w:docPartBody>
        <w:p w:rsidR="007E62B5" w:rsidRDefault="00E17380" w:rsidP="00E17380">
          <w:pPr>
            <w:pStyle w:val="EA8ED80BC991498787523AB3EAFE7885"/>
          </w:pPr>
          <w:r w:rsidRPr="00BE35DC">
            <w:rPr>
              <w:rStyle w:val="PlaceholderText"/>
              <w:rFonts w:ascii="Arial Narrow" w:hAnsi="Arial Narrow"/>
              <w:color w:val="000000" w:themeColor="text1"/>
              <w:sz w:val="24"/>
              <w:szCs w:val="24"/>
            </w:rPr>
            <w:t>Choose an item.</w:t>
          </w:r>
        </w:p>
      </w:docPartBody>
    </w:docPart>
    <w:docPart>
      <w:docPartPr>
        <w:name w:val="247D7E0C4C634AC2A74DA710C573D65D"/>
        <w:category>
          <w:name w:val="General"/>
          <w:gallery w:val="placeholder"/>
        </w:category>
        <w:types>
          <w:type w:val="bbPlcHdr"/>
        </w:types>
        <w:behaviors>
          <w:behavior w:val="content"/>
        </w:behaviors>
        <w:guid w:val="{F8AF28B9-BE5E-4340-84BF-8C1220A34859}"/>
      </w:docPartPr>
      <w:docPartBody>
        <w:p w:rsidR="007E62B5" w:rsidRDefault="00E17380" w:rsidP="00E17380">
          <w:pPr>
            <w:pStyle w:val="247D7E0C4C634AC2A74DA710C573D65D1"/>
          </w:pPr>
          <w:r w:rsidRPr="00321654">
            <w:rPr>
              <w:rStyle w:val="PlaceholderText"/>
              <w:rFonts w:cs="Arial"/>
              <w:color w:val="000000" w:themeColor="text1"/>
              <w:sz w:val="20"/>
            </w:rPr>
            <w:t>Choose an item.</w:t>
          </w:r>
        </w:p>
      </w:docPartBody>
    </w:docPart>
    <w:docPart>
      <w:docPartPr>
        <w:name w:val="6007E9E1FE0D4368B949A2BCD8478B59"/>
        <w:category>
          <w:name w:val="General"/>
          <w:gallery w:val="placeholder"/>
        </w:category>
        <w:types>
          <w:type w:val="bbPlcHdr"/>
        </w:types>
        <w:behaviors>
          <w:behavior w:val="content"/>
        </w:behaviors>
        <w:guid w:val="{4A6875EE-C920-4BB1-8282-A30E081F4EAA}"/>
      </w:docPartPr>
      <w:docPartBody>
        <w:p w:rsidR="007E62B5" w:rsidRDefault="00E17380" w:rsidP="00E17380">
          <w:pPr>
            <w:pStyle w:val="6007E9E1FE0D4368B949A2BCD8478B591"/>
          </w:pPr>
          <w:r w:rsidRPr="00321654">
            <w:rPr>
              <w:rStyle w:val="PlaceholderText"/>
              <w:rFonts w:cs="Arial"/>
              <w:color w:val="000000" w:themeColor="text1"/>
              <w:sz w:val="20"/>
            </w:rPr>
            <w:t>Click or tap here to enter text.</w:t>
          </w:r>
        </w:p>
      </w:docPartBody>
    </w:docPart>
    <w:docPart>
      <w:docPartPr>
        <w:name w:val="7AE122A2FA554CE499C47993957D33B4"/>
        <w:category>
          <w:name w:val="General"/>
          <w:gallery w:val="placeholder"/>
        </w:category>
        <w:types>
          <w:type w:val="bbPlcHdr"/>
        </w:types>
        <w:behaviors>
          <w:behavior w:val="content"/>
        </w:behaviors>
        <w:guid w:val="{B6C76A60-01F4-4AEA-8FAC-85020F972B02}"/>
      </w:docPartPr>
      <w:docPartBody>
        <w:p w:rsidR="007E62B5" w:rsidRDefault="00E17380" w:rsidP="00E17380">
          <w:pPr>
            <w:pStyle w:val="7AE122A2FA554CE499C47993957D33B41"/>
          </w:pPr>
          <w:r w:rsidRPr="00321654">
            <w:rPr>
              <w:rStyle w:val="PlaceholderText"/>
              <w:rFonts w:cs="Arial"/>
              <w:color w:val="000000" w:themeColor="text1"/>
              <w:sz w:val="20"/>
            </w:rPr>
            <w:t>Choose an item.</w:t>
          </w:r>
        </w:p>
      </w:docPartBody>
    </w:docPart>
    <w:docPart>
      <w:docPartPr>
        <w:name w:val="A6D9AA506F154435A3CECC4CED4F6AB0"/>
        <w:category>
          <w:name w:val="General"/>
          <w:gallery w:val="placeholder"/>
        </w:category>
        <w:types>
          <w:type w:val="bbPlcHdr"/>
        </w:types>
        <w:behaviors>
          <w:behavior w:val="content"/>
        </w:behaviors>
        <w:guid w:val="{EFF6475B-CC56-4C72-BCB4-D6D3A481102A}"/>
      </w:docPartPr>
      <w:docPartBody>
        <w:p w:rsidR="007E62B5" w:rsidRDefault="00E17380" w:rsidP="00E17380">
          <w:pPr>
            <w:pStyle w:val="A6D9AA506F154435A3CECC4CED4F6AB01"/>
          </w:pPr>
          <w:r w:rsidRPr="00321654">
            <w:rPr>
              <w:rStyle w:val="PlaceholderText"/>
              <w:rFonts w:cs="Arial"/>
              <w:color w:val="000000" w:themeColor="text1"/>
              <w:sz w:val="20"/>
            </w:rPr>
            <w:t>Click or tap to enter a date.</w:t>
          </w:r>
        </w:p>
      </w:docPartBody>
    </w:docPart>
    <w:docPart>
      <w:docPartPr>
        <w:name w:val="B59BA503D13F4DDEB787B45EE66127B2"/>
        <w:category>
          <w:name w:val="General"/>
          <w:gallery w:val="placeholder"/>
        </w:category>
        <w:types>
          <w:type w:val="bbPlcHdr"/>
        </w:types>
        <w:behaviors>
          <w:behavior w:val="content"/>
        </w:behaviors>
        <w:guid w:val="{04E3DB00-EF70-40F2-9FC0-32B6587375C4}"/>
      </w:docPartPr>
      <w:docPartBody>
        <w:p w:rsidR="007E62B5" w:rsidRDefault="00E17380" w:rsidP="00E17380">
          <w:pPr>
            <w:pStyle w:val="B59BA503D13F4DDEB787B45EE66127B21"/>
          </w:pPr>
          <w:r w:rsidRPr="00321654">
            <w:rPr>
              <w:rStyle w:val="PlaceholderText"/>
              <w:rFonts w:cs="Arial"/>
              <w:color w:val="000000" w:themeColor="text1"/>
              <w:sz w:val="20"/>
            </w:rPr>
            <w:t>Click or tap to enter a date.</w:t>
          </w:r>
        </w:p>
      </w:docPartBody>
    </w:docPart>
    <w:docPart>
      <w:docPartPr>
        <w:name w:val="1CB3D243DB094DA4B385F171D6AEE5F2"/>
        <w:category>
          <w:name w:val="General"/>
          <w:gallery w:val="placeholder"/>
        </w:category>
        <w:types>
          <w:type w:val="bbPlcHdr"/>
        </w:types>
        <w:behaviors>
          <w:behavior w:val="content"/>
        </w:behaviors>
        <w:guid w:val="{1B09467D-B793-402E-8CC2-0E2F4C1C8BF4}"/>
      </w:docPartPr>
      <w:docPartBody>
        <w:p w:rsidR="007E62B5" w:rsidRDefault="00E17380" w:rsidP="00E17380">
          <w:pPr>
            <w:pStyle w:val="1CB3D243DB094DA4B385F171D6AEE5F21"/>
          </w:pPr>
          <w:r w:rsidRPr="0037000B">
            <w:rPr>
              <w:rStyle w:val="PlaceholderText"/>
              <w:rFonts w:cs="Arial"/>
              <w:color w:val="000000" w:themeColor="text1"/>
              <w:sz w:val="20"/>
              <w:szCs w:val="20"/>
            </w:rPr>
            <w:t>Click or tap here to enter text.</w:t>
          </w:r>
        </w:p>
      </w:docPartBody>
    </w:docPart>
    <w:docPart>
      <w:docPartPr>
        <w:name w:val="9984687766834DA69FFD0AA53AF73D37"/>
        <w:category>
          <w:name w:val="General"/>
          <w:gallery w:val="placeholder"/>
        </w:category>
        <w:types>
          <w:type w:val="bbPlcHdr"/>
        </w:types>
        <w:behaviors>
          <w:behavior w:val="content"/>
        </w:behaviors>
        <w:guid w:val="{B5B4D22C-A15F-4E80-B101-927F2F3F886F}"/>
      </w:docPartPr>
      <w:docPartBody>
        <w:p w:rsidR="007E62B5" w:rsidRDefault="00E17380" w:rsidP="00E17380">
          <w:pPr>
            <w:pStyle w:val="9984687766834DA69FFD0AA53AF73D371"/>
          </w:pPr>
          <w:r w:rsidRPr="00581F4F">
            <w:rPr>
              <w:rStyle w:val="PlaceholderText"/>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E1"/>
    <w:rsid w:val="00052703"/>
    <w:rsid w:val="0013145F"/>
    <w:rsid w:val="00307138"/>
    <w:rsid w:val="003372AE"/>
    <w:rsid w:val="003B298D"/>
    <w:rsid w:val="00426A00"/>
    <w:rsid w:val="004C412D"/>
    <w:rsid w:val="004D6A5F"/>
    <w:rsid w:val="005C662A"/>
    <w:rsid w:val="006D67F3"/>
    <w:rsid w:val="007E62B5"/>
    <w:rsid w:val="00833190"/>
    <w:rsid w:val="009C63E1"/>
    <w:rsid w:val="009D7071"/>
    <w:rsid w:val="00A83D9B"/>
    <w:rsid w:val="00AF04DC"/>
    <w:rsid w:val="00B254DF"/>
    <w:rsid w:val="00BC5EC8"/>
    <w:rsid w:val="00C253A4"/>
    <w:rsid w:val="00C465D8"/>
    <w:rsid w:val="00CC3F6B"/>
    <w:rsid w:val="00CC52B9"/>
    <w:rsid w:val="00CC6684"/>
    <w:rsid w:val="00E17380"/>
    <w:rsid w:val="00EE58D8"/>
    <w:rsid w:val="00F6474A"/>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A0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 w:type="paragraph" w:customStyle="1" w:styleId="344D9C5379524494B6D1F0A59188A682">
    <w:name w:val="344D9C5379524494B6D1F0A59188A682"/>
    <w:rsid w:val="006D67F3"/>
    <w:rPr>
      <w:lang w:val="en-US" w:eastAsia="en-US"/>
    </w:rPr>
  </w:style>
  <w:style w:type="paragraph" w:customStyle="1" w:styleId="B296F7A7624845DCB46559B8FA46A580">
    <w:name w:val="B296F7A7624845DCB46559B8FA46A580"/>
    <w:rsid w:val="006D67F3"/>
    <w:rPr>
      <w:lang w:val="en-US" w:eastAsia="en-US"/>
    </w:rPr>
  </w:style>
  <w:style w:type="paragraph" w:customStyle="1" w:styleId="ED6B338CDB404CF598CA439B0D2ECBF8">
    <w:name w:val="ED6B338CDB404CF598CA439B0D2ECBF8"/>
    <w:rsid w:val="006D67F3"/>
    <w:rPr>
      <w:lang w:val="en-US" w:eastAsia="en-US"/>
    </w:rPr>
  </w:style>
  <w:style w:type="paragraph" w:customStyle="1" w:styleId="D26563DDD34040C4B3CFBA2C8563C86B">
    <w:name w:val="D26563DDD34040C4B3CFBA2C8563C86B"/>
    <w:rsid w:val="006D67F3"/>
    <w:rPr>
      <w:lang w:val="en-US" w:eastAsia="en-US"/>
    </w:rPr>
  </w:style>
  <w:style w:type="paragraph" w:customStyle="1" w:styleId="E4EC94E1F11C4F1AB837C1E1CE31EFBC">
    <w:name w:val="E4EC94E1F11C4F1AB837C1E1CE31EFBC"/>
    <w:rsid w:val="00426A0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F2E58-0E86-4A7C-846D-823E3538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TracyorPaul Chisholm</dc:creator>
  <cp:keywords/>
  <dc:description/>
  <cp:lastModifiedBy>EL NAJJAR, GHIWA DIB EL BADAW</cp:lastModifiedBy>
  <cp:revision>6</cp:revision>
  <cp:lastPrinted>2017-12-31T20:40:00Z</cp:lastPrinted>
  <dcterms:created xsi:type="dcterms:W3CDTF">2018-04-03T09:54:00Z</dcterms:created>
  <dcterms:modified xsi:type="dcterms:W3CDTF">2018-04-04T11:12:00Z</dcterms:modified>
</cp:coreProperties>
</file>