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0F3ADD" w14:paraId="021885EE" w14:textId="77777777" w:rsidTr="000F3ADD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  <w:hideMark/>
          </w:tcPr>
          <w:p w14:paraId="3BECAF94" w14:textId="77777777" w:rsidR="000F3ADD" w:rsidRDefault="000F3ADD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0F3ADD" w14:paraId="220535C1" w14:textId="77777777" w:rsidTr="000F3ADD">
        <w:trPr>
          <w:trHeight w:val="432"/>
        </w:trPr>
        <w:tc>
          <w:tcPr>
            <w:tcW w:w="10519" w:type="dxa"/>
            <w:gridSpan w:val="4"/>
            <w:hideMark/>
          </w:tcPr>
          <w:p w14:paraId="01D6A1AE" w14:textId="78B024AC" w:rsidR="000F3ADD" w:rsidRDefault="00754BC1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Enhancement of </w:t>
            </w:r>
            <w:r w:rsidR="000F3ADD" w:rsidRPr="000F3ADD">
              <w:rPr>
                <w:rFonts w:cs="Arial"/>
                <w:sz w:val="20"/>
              </w:rPr>
              <w:t>Nutrition</w:t>
            </w:r>
            <w:r>
              <w:rPr>
                <w:rFonts w:cs="Arial"/>
                <w:sz w:val="20"/>
              </w:rPr>
              <w:t>al</w:t>
            </w:r>
            <w:r w:rsidR="000F3ADD" w:rsidRPr="000F3ADD">
              <w:rPr>
                <w:rFonts w:cs="Arial"/>
                <w:sz w:val="20"/>
              </w:rPr>
              <w:t xml:space="preserve"> Formula Monitoring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0A76E6A5" w:rsidR="00B749DB" w:rsidRPr="00321654" w:rsidRDefault="00DD45F2" w:rsidP="008E49C2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DD45F2">
                  <w:rPr>
                    <w:rFonts w:cs="Arial"/>
                    <w:color w:val="000000" w:themeColor="text1"/>
                    <w:sz w:val="20"/>
                  </w:rPr>
                  <w:t>Nutrition Services Department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5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05614E81" w:rsidR="00B749DB" w:rsidRPr="00321654" w:rsidRDefault="00DD45F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01-01-2015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60DC39F0" w:rsidR="00B749DB" w:rsidRPr="00321654" w:rsidRDefault="00167BF1" w:rsidP="00167BF1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8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  <w:gridCol w:w="330"/>
      </w:tblGrid>
      <w:tr w:rsidR="00B749DB" w:rsidRPr="00CD0A93" w14:paraId="4538C87D" w14:textId="77777777" w:rsidTr="00167BF1">
        <w:trPr>
          <w:gridAfter w:val="1"/>
          <w:wAfter w:w="330" w:type="dxa"/>
          <w:trHeight w:val="226"/>
        </w:trPr>
        <w:tc>
          <w:tcPr>
            <w:tcW w:w="5256" w:type="dxa"/>
            <w:shd w:val="clear" w:color="auto" w:fill="auto"/>
          </w:tcPr>
          <w:p w14:paraId="474E99AF" w14:textId="187BC4CF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5F3A0972" w14:textId="77777777" w:rsidR="00754BC1" w:rsidRPr="0037000B" w:rsidRDefault="00754BC1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6379C759" w14:textId="49A20F7C" w:rsidR="00DD45F2" w:rsidRPr="00DD45F2" w:rsidRDefault="00651AD8" w:rsidP="00651AD8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Patients are expected</w:t>
                </w:r>
                <w:r w:rsidR="00DD45F2" w:rsidRPr="00DD45F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to receive high quality nutritional formula and supplements that are not expired. Unfortunately, there have been incidents where patients, nurses and staff have reported receiving expired formula for inpatients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/ </w:t>
                </w:r>
                <w:r w:rsidR="00DD45F2" w:rsidRPr="00DD45F2">
                  <w:rPr>
                    <w:rFonts w:cs="Arial"/>
                    <w:color w:val="000000" w:themeColor="text1"/>
                    <w:sz w:val="20"/>
                    <w:szCs w:val="20"/>
                  </w:rPr>
                  <w:t>outpatients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settings</w:t>
                </w:r>
                <w:r w:rsidR="00DD45F2" w:rsidRPr="00DD45F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. </w:t>
                </w:r>
              </w:p>
              <w:p w14:paraId="13A79EB1" w14:textId="5957221F" w:rsidR="00B749DB" w:rsidRPr="00B845E4" w:rsidRDefault="00DD45F2" w:rsidP="00651AD8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DD45F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Due to the high volume of nutritional formula ordered, consumed and issued, </w:t>
                </w:r>
                <w:r w:rsidR="00651AD8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the </w:t>
                </w:r>
                <w:r w:rsidRPr="00DD45F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risk of </w:t>
                </w:r>
                <w:r w:rsidR="00651AD8" w:rsidRPr="00DD45F2">
                  <w:rPr>
                    <w:rFonts w:cs="Arial"/>
                    <w:color w:val="000000" w:themeColor="text1"/>
                    <w:sz w:val="20"/>
                    <w:szCs w:val="20"/>
                  </w:rPr>
                  <w:t>issuing expired formula</w:t>
                </w:r>
                <w:r w:rsidR="00651AD8" w:rsidRPr="00DD45F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651AD8">
                  <w:rPr>
                    <w:rFonts w:cs="Arial"/>
                    <w:color w:val="000000" w:themeColor="text1"/>
                    <w:sz w:val="20"/>
                    <w:szCs w:val="20"/>
                  </w:rPr>
                  <w:t>is very likely to happen</w:t>
                </w:r>
                <w:r w:rsidRPr="00DD45F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. This project was </w:t>
                </w:r>
                <w:r w:rsidR="00651AD8">
                  <w:rPr>
                    <w:rFonts w:cs="Arial"/>
                    <w:color w:val="000000" w:themeColor="text1"/>
                    <w:sz w:val="20"/>
                    <w:szCs w:val="20"/>
                  </w:rPr>
                  <w:t>initiated</w:t>
                </w:r>
                <w:r w:rsidRPr="00DD45F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to </w:t>
                </w:r>
                <w:r w:rsidR="00651AD8">
                  <w:rPr>
                    <w:rFonts w:cs="Arial"/>
                    <w:color w:val="000000" w:themeColor="text1"/>
                    <w:sz w:val="20"/>
                    <w:szCs w:val="20"/>
                  </w:rPr>
                  <w:t>enhance</w:t>
                </w:r>
                <w:r w:rsidRPr="00DD45F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patient safety by preventing the use of expired nutritional formula.</w:t>
                </w:r>
              </w:p>
              <w:p w14:paraId="550391E2" w14:textId="7EFD0861" w:rsidR="00B749DB" w:rsidRPr="00DD45F2" w:rsidRDefault="00635D8C" w:rsidP="00DD45F2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508948DC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3DBCEFB9" w14:textId="77777777" w:rsidR="00754BC1" w:rsidRPr="004910B3" w:rsidRDefault="00754BC1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F0C16A" w14:textId="0077F42E" w:rsidR="00B749DB" w:rsidRPr="00DD45F2" w:rsidRDefault="005C1064" w:rsidP="00651AD8">
            <w:pPr>
              <w:pStyle w:val="ListParagraph"/>
              <w:ind w:left="36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Decrease </w:t>
            </w:r>
            <w:r w:rsidR="00651AD8">
              <w:rPr>
                <w:rFonts w:cs="Arial"/>
                <w:color w:val="000000" w:themeColor="text1"/>
                <w:sz w:val="20"/>
              </w:rPr>
              <w:t xml:space="preserve">number of </w:t>
            </w:r>
            <w:r w:rsidR="00754BC1">
              <w:rPr>
                <w:rFonts w:cs="Arial"/>
                <w:color w:val="000000" w:themeColor="text1"/>
                <w:sz w:val="20"/>
              </w:rPr>
              <w:t>incidents (</w:t>
            </w:r>
            <w:r>
              <w:rPr>
                <w:rFonts w:cs="Arial"/>
                <w:color w:val="000000" w:themeColor="text1"/>
                <w:sz w:val="20"/>
              </w:rPr>
              <w:t>SRS</w:t>
            </w:r>
            <w:r w:rsidR="00754BC1">
              <w:rPr>
                <w:rFonts w:cs="Arial"/>
                <w:color w:val="000000" w:themeColor="text1"/>
                <w:sz w:val="20"/>
              </w:rPr>
              <w:t>)</w:t>
            </w:r>
            <w:r>
              <w:rPr>
                <w:rFonts w:cs="Arial"/>
                <w:color w:val="000000" w:themeColor="text1"/>
                <w:sz w:val="20"/>
              </w:rPr>
              <w:t xml:space="preserve"> related to expired Nutritional Formula from </w:t>
            </w:r>
            <w:r w:rsidR="00754BC1">
              <w:rPr>
                <w:rFonts w:cs="Arial"/>
                <w:color w:val="000000" w:themeColor="text1"/>
                <w:sz w:val="20"/>
              </w:rPr>
              <w:t xml:space="preserve">average of 8 </w:t>
            </w:r>
            <w:r w:rsidR="008E6EAD">
              <w:rPr>
                <w:rFonts w:cs="Arial"/>
                <w:color w:val="000000" w:themeColor="text1"/>
                <w:sz w:val="20"/>
              </w:rPr>
              <w:t>per</w:t>
            </w:r>
            <w:r w:rsidR="00A86B8A">
              <w:rPr>
                <w:rFonts w:cs="Arial"/>
                <w:color w:val="000000" w:themeColor="text1"/>
                <w:sz w:val="20"/>
              </w:rPr>
              <w:t xml:space="preserve"> Quarter to zero by </w:t>
            </w:r>
            <w:r w:rsidR="008E6EAD">
              <w:rPr>
                <w:rFonts w:cs="Arial"/>
                <w:color w:val="000000" w:themeColor="text1"/>
                <w:sz w:val="20"/>
              </w:rPr>
              <w:t xml:space="preserve">end of </w:t>
            </w:r>
            <w:bookmarkStart w:id="0" w:name="_GoBack"/>
            <w:bookmarkEnd w:id="0"/>
            <w:r w:rsidR="00A86B8A">
              <w:rPr>
                <w:rFonts w:cs="Arial"/>
                <w:color w:val="000000" w:themeColor="text1"/>
                <w:sz w:val="20"/>
              </w:rPr>
              <w:t>2017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</w:tr>
      <w:tr w:rsidR="00B749DB" w:rsidRPr="00CD0A93" w14:paraId="345BF90B" w14:textId="77777777" w:rsidTr="00167BF1">
        <w:trPr>
          <w:gridAfter w:val="1"/>
          <w:wAfter w:w="330" w:type="dxa"/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635D8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635D8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4401610F" w:rsidR="00B749DB" w:rsidRPr="0037000B" w:rsidRDefault="00635D8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5F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635D8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6723253B" w:rsidR="00B749DB" w:rsidRPr="0037000B" w:rsidRDefault="00635D8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5F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635D8C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357F8E31" w:rsidR="00B749DB" w:rsidRPr="0037000B" w:rsidRDefault="00186948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Safe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  <w:tr w:rsidR="00B749DB" w:rsidRPr="00CD0A93" w14:paraId="6BD332CD" w14:textId="77777777" w:rsidTr="00167BF1">
        <w:trPr>
          <w:trHeight w:val="1295"/>
        </w:trPr>
        <w:tc>
          <w:tcPr>
            <w:tcW w:w="10842" w:type="dxa"/>
            <w:gridSpan w:val="3"/>
          </w:tcPr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754BC1">
              <w:trPr>
                <w:trHeight w:val="382"/>
              </w:trPr>
              <w:tc>
                <w:tcPr>
                  <w:tcW w:w="5308" w:type="dxa"/>
                </w:tcPr>
                <w:p w14:paraId="197447C8" w14:textId="3709FD71" w:rsidR="008E400D" w:rsidRPr="00DD45F2" w:rsidRDefault="003726D7" w:rsidP="00754BC1">
                  <w:pPr>
                    <w:rPr>
                      <w:rFonts w:cs="Arial"/>
                      <w:color w:val="000000" w:themeColor="text1"/>
                      <w:sz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lang w:val="en-GB"/>
                    </w:rPr>
                    <w:t>Number of i</w:t>
                  </w:r>
                  <w:r w:rsidR="00DD45F2" w:rsidRPr="00DD45F2">
                    <w:rPr>
                      <w:rFonts w:cs="Arial"/>
                      <w:color w:val="000000" w:themeColor="text1"/>
                      <w:sz w:val="20"/>
                      <w:lang w:val="en-GB"/>
                    </w:rPr>
                    <w:t>ncidents</w:t>
                  </w:r>
                  <w:r w:rsidR="00DD45F2">
                    <w:rPr>
                      <w:rFonts w:asciiTheme="minorBidi" w:hAnsiTheme="minorBidi"/>
                      <w:sz w:val="24"/>
                      <w:szCs w:val="24"/>
                      <w:lang w:val="en-GB"/>
                    </w:rPr>
                    <w:t xml:space="preserve"> </w:t>
                  </w:r>
                  <w:r w:rsidR="00DD45F2">
                    <w:rPr>
                      <w:rFonts w:cs="Arial"/>
                      <w:color w:val="000000" w:themeColor="text1"/>
                      <w:sz w:val="20"/>
                      <w:lang w:val="en-GB"/>
                    </w:rPr>
                    <w:t xml:space="preserve">of </w:t>
                  </w:r>
                  <w:r w:rsidR="00DD45F2" w:rsidRPr="00DD45F2">
                    <w:rPr>
                      <w:rFonts w:cs="Arial"/>
                      <w:color w:val="000000" w:themeColor="text1"/>
                      <w:sz w:val="20"/>
                      <w:lang w:val="en-GB"/>
                    </w:rPr>
                    <w:t>expired formula reaching the patient</w:t>
                  </w:r>
                  <w:r w:rsidR="00DD45F2">
                    <w:rPr>
                      <w:rFonts w:cs="Arial"/>
                      <w:color w:val="000000" w:themeColor="text1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5308" w:type="dxa"/>
                </w:tcPr>
                <w:p w14:paraId="1CF29601" w14:textId="57F34255" w:rsidR="008E400D" w:rsidRPr="00651AD8" w:rsidRDefault="003726D7" w:rsidP="00651AD8">
                  <w:pPr>
                    <w:rPr>
                      <w:rFonts w:cs="Arial"/>
                      <w:color w:val="000000" w:themeColor="text1"/>
                      <w:sz w:val="20"/>
                      <w:lang w:val="en-GB"/>
                    </w:rPr>
                  </w:pPr>
                  <w:r w:rsidRPr="00651AD8">
                    <w:rPr>
                      <w:rFonts w:cs="Arial"/>
                      <w:color w:val="000000" w:themeColor="text1"/>
                      <w:sz w:val="20"/>
                      <w:lang w:val="en-GB"/>
                    </w:rPr>
                    <w:t>zero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167BF1">
        <w:trPr>
          <w:trHeight w:val="1894"/>
        </w:trPr>
        <w:tc>
          <w:tcPr>
            <w:tcW w:w="10842" w:type="dxa"/>
            <w:gridSpan w:val="3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8AFCC90" w14:textId="77777777" w:rsidR="00DD45F2" w:rsidRPr="00DD45F2" w:rsidRDefault="00DD45F2" w:rsidP="00DD45F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D45F2">
              <w:rPr>
                <w:rFonts w:cs="Arial"/>
                <w:color w:val="000000" w:themeColor="text1"/>
                <w:sz w:val="20"/>
                <w:szCs w:val="28"/>
              </w:rPr>
              <w:t>A policy was developed with all departments involved explaining in detail all the steps of monitoring nutritional formula from: ordering, preparation, delivery, storage and issuing.</w:t>
            </w:r>
          </w:p>
          <w:p w14:paraId="5B475EC4" w14:textId="77777777" w:rsidR="00DD45F2" w:rsidRPr="00DD45F2" w:rsidRDefault="00DD45F2" w:rsidP="00DD45F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D45F2">
              <w:rPr>
                <w:rFonts w:cs="Arial"/>
                <w:color w:val="000000" w:themeColor="text1"/>
                <w:sz w:val="20"/>
                <w:szCs w:val="28"/>
              </w:rPr>
              <w:t>Process maps, work flow diagrams, and forms were developed and/or updated to explain the process of monitoring formula expiry.</w:t>
            </w:r>
          </w:p>
          <w:p w14:paraId="5C0B76B8" w14:textId="77777777" w:rsidR="00DD45F2" w:rsidRPr="00DD45F2" w:rsidRDefault="00DD45F2" w:rsidP="00DD45F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D45F2">
              <w:rPr>
                <w:rFonts w:cs="Arial"/>
                <w:color w:val="000000" w:themeColor="text1"/>
                <w:sz w:val="20"/>
                <w:szCs w:val="28"/>
              </w:rPr>
              <w:t>An audit tool was developed and used to measure the improvement in different areas around the hospital.</w:t>
            </w:r>
          </w:p>
          <w:p w14:paraId="3ED651CD" w14:textId="77777777" w:rsidR="00DD45F2" w:rsidRPr="00DD45F2" w:rsidRDefault="00DD45F2" w:rsidP="00DD45F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D45F2">
              <w:rPr>
                <w:rFonts w:cs="Arial"/>
                <w:color w:val="000000" w:themeColor="text1"/>
                <w:sz w:val="20"/>
                <w:szCs w:val="28"/>
              </w:rPr>
              <w:t xml:space="preserve">An educational presentation was developed and is available in I-learn </w:t>
            </w:r>
          </w:p>
          <w:p w14:paraId="3F0D00F6" w14:textId="77777777" w:rsidR="00DD45F2" w:rsidRPr="00DD45F2" w:rsidRDefault="00DD45F2" w:rsidP="00DD45F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D45F2">
              <w:rPr>
                <w:rFonts w:cs="Arial"/>
                <w:color w:val="000000" w:themeColor="text1"/>
                <w:sz w:val="20"/>
                <w:szCs w:val="28"/>
              </w:rPr>
              <w:t>Refrigerators were purchased to ensure the safe storage of prepared formulas in a separate refrigerator.</w:t>
            </w:r>
          </w:p>
          <w:p w14:paraId="5900E502" w14:textId="625D39AB" w:rsidR="00B749DB" w:rsidRPr="00DD45F2" w:rsidRDefault="00DD45F2" w:rsidP="00167BF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D45F2">
              <w:rPr>
                <w:rFonts w:cs="Arial"/>
                <w:color w:val="000000" w:themeColor="text1"/>
                <w:sz w:val="20"/>
                <w:szCs w:val="28"/>
              </w:rPr>
              <w:t>The new policy was uploaded and accessible to all staff, and concerned staff were educated about its use by their responsible superiors.</w:t>
            </w:r>
            <w:r w:rsidRPr="00DD45F2">
              <w:rPr>
                <w:rFonts w:cs="Arial"/>
                <w:color w:val="7F7F7F" w:themeColor="text2"/>
                <w:sz w:val="16"/>
              </w:rPr>
              <w:t xml:space="preserve">                  </w:t>
            </w:r>
          </w:p>
        </w:tc>
      </w:tr>
      <w:tr w:rsidR="00B749DB" w:rsidRPr="00CD0A93" w14:paraId="4C64EF4B" w14:textId="77777777" w:rsidTr="00167BF1">
        <w:trPr>
          <w:trHeight w:val="9436"/>
        </w:trPr>
        <w:tc>
          <w:tcPr>
            <w:tcW w:w="10842" w:type="dxa"/>
            <w:gridSpan w:val="3"/>
          </w:tcPr>
          <w:p w14:paraId="4B182767" w14:textId="35712D9F" w:rsidR="00B749DB" w:rsidRPr="00DD439D" w:rsidRDefault="00B749DB" w:rsidP="006848BB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6D78E40B" w:rsidR="00B749DB" w:rsidRDefault="00B749DB" w:rsidP="006848BB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</w:p>
          <w:p w14:paraId="7C71831E" w14:textId="33D5D849" w:rsidR="005C1064" w:rsidRDefault="005C1064" w:rsidP="006848B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29C00A90" w14:textId="0A5D6704" w:rsidR="005C1064" w:rsidRDefault="00A86B8A" w:rsidP="006848BB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9280E0" wp14:editId="20DAA2F7">
                  <wp:extent cx="6498417" cy="1496820"/>
                  <wp:effectExtent l="19050" t="19050" r="17145" b="273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510" cy="15182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22FC7" w14:textId="70EDAFFB" w:rsidR="005C1064" w:rsidRDefault="005C1064" w:rsidP="006848BB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1C3FE08D" w14:textId="74539D74" w:rsidR="005C1064" w:rsidRDefault="00167BF1" w:rsidP="006848BB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7C7F3807" wp14:editId="74A3C2A1">
                  <wp:simplePos x="0" y="0"/>
                  <wp:positionH relativeFrom="column">
                    <wp:posOffset>3498215</wp:posOffset>
                  </wp:positionH>
                  <wp:positionV relativeFrom="paragraph">
                    <wp:posOffset>32385</wp:posOffset>
                  </wp:positionV>
                  <wp:extent cx="3308350" cy="2346960"/>
                  <wp:effectExtent l="19050" t="19050" r="25400" b="15240"/>
                  <wp:wrapTight wrapText="bothSides">
                    <wp:wrapPolygon edited="0">
                      <wp:start x="-124" y="-175"/>
                      <wp:lineTo x="-124" y="21565"/>
                      <wp:lineTo x="21641" y="21565"/>
                      <wp:lineTo x="21641" y="-175"/>
                      <wp:lineTo x="-124" y="-175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0" cy="23469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D1F49DC" wp14:editId="07A3A365">
                  <wp:extent cx="3102066" cy="2363866"/>
                  <wp:effectExtent l="19050" t="19050" r="22225" b="177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857" cy="23690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91273" w14:textId="3DC6FDDE" w:rsidR="00651AD8" w:rsidRDefault="00651AD8" w:rsidP="00167BF1">
            <w:pPr>
              <w:rPr>
                <w:rFonts w:cs="Arial"/>
                <w:color w:val="000000" w:themeColor="text1"/>
                <w:sz w:val="20"/>
              </w:rPr>
            </w:pPr>
          </w:p>
          <w:p w14:paraId="500D8A15" w14:textId="43279672" w:rsidR="006848BB" w:rsidRDefault="006848BB" w:rsidP="006848BB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C2217D4" w14:textId="5C87ED46" w:rsidR="009E461E" w:rsidRPr="009E461E" w:rsidRDefault="00651AD8" w:rsidP="006848BB"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336ADF0B" wp14:editId="7FD79289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40640</wp:posOffset>
                  </wp:positionV>
                  <wp:extent cx="4699635" cy="2334895"/>
                  <wp:effectExtent l="19050" t="19050" r="24765" b="27305"/>
                  <wp:wrapTight wrapText="bothSides">
                    <wp:wrapPolygon edited="0">
                      <wp:start x="-88" y="-176"/>
                      <wp:lineTo x="-88" y="21676"/>
                      <wp:lineTo x="21626" y="21676"/>
                      <wp:lineTo x="21626" y="-176"/>
                      <wp:lineTo x="-88" y="-176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635" cy="2334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06B5B8" w14:textId="32D9F217" w:rsidR="009E461E" w:rsidRDefault="009E461E" w:rsidP="006848BB"/>
          <w:p w14:paraId="6033B83F" w14:textId="0F9416B4" w:rsidR="006848BB" w:rsidRPr="009E461E" w:rsidRDefault="006848BB" w:rsidP="006848BB"/>
          <w:p w14:paraId="2BC6DDA7" w14:textId="77777777" w:rsidR="009E461E" w:rsidRPr="009E461E" w:rsidRDefault="009E461E" w:rsidP="006848BB"/>
          <w:p w14:paraId="26925E63" w14:textId="5E2E1DEA" w:rsidR="009E461E" w:rsidRPr="009E461E" w:rsidRDefault="009E461E" w:rsidP="006848BB"/>
          <w:p w14:paraId="0A2FD564" w14:textId="4A1A288A" w:rsidR="009E461E" w:rsidRPr="009E461E" w:rsidRDefault="009E461E" w:rsidP="006848BB"/>
          <w:p w14:paraId="4C39F28A" w14:textId="0C7936B3" w:rsidR="009E461E" w:rsidRPr="009E461E" w:rsidRDefault="009E461E" w:rsidP="006848BB"/>
          <w:p w14:paraId="21CC5586" w14:textId="6342C457" w:rsidR="009E461E" w:rsidRPr="009E461E" w:rsidRDefault="009E461E" w:rsidP="006848BB"/>
          <w:p w14:paraId="26FD059D" w14:textId="0C6C7210" w:rsidR="009E461E" w:rsidRPr="009E461E" w:rsidRDefault="009E461E" w:rsidP="006848BB"/>
          <w:p w14:paraId="7EE013FF" w14:textId="70CFD295" w:rsidR="009E461E" w:rsidRPr="009E461E" w:rsidRDefault="009E461E" w:rsidP="006848BB"/>
          <w:p w14:paraId="4EE71CAE" w14:textId="081C313A" w:rsidR="009E461E" w:rsidRPr="009E461E" w:rsidRDefault="009E461E" w:rsidP="006848BB"/>
          <w:p w14:paraId="38704327" w14:textId="77777777" w:rsidR="009E461E" w:rsidRPr="009E461E" w:rsidRDefault="009E461E" w:rsidP="006848BB"/>
          <w:p w14:paraId="6310C3BA" w14:textId="77777777" w:rsidR="009E461E" w:rsidRPr="009E461E" w:rsidRDefault="009E461E" w:rsidP="006848BB"/>
          <w:p w14:paraId="2E57A5F3" w14:textId="24AC32C1" w:rsidR="009E461E" w:rsidRPr="009E461E" w:rsidRDefault="009E461E" w:rsidP="006848BB"/>
          <w:p w14:paraId="7C496D3E" w14:textId="77777777" w:rsidR="009E461E" w:rsidRPr="009E461E" w:rsidRDefault="009E461E" w:rsidP="006848BB"/>
          <w:p w14:paraId="160B22DB" w14:textId="097D5560" w:rsidR="00B749DB" w:rsidRPr="009E461E" w:rsidRDefault="00B749DB" w:rsidP="006848BB"/>
        </w:tc>
      </w:tr>
    </w:tbl>
    <w:p w14:paraId="61CC780D" w14:textId="69C54662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9B1CC1">
        <w:trPr>
          <w:trHeight w:val="14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9B1CC1">
        <w:trPr>
          <w:trHeight w:val="313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524B4155" w:rsidR="0096065F" w:rsidRPr="00DD439D" w:rsidRDefault="006848BB" w:rsidP="0096065F">
                <w:pPr>
                  <w:rPr>
                    <w:rFonts w:cs="Arial"/>
                    <w:sz w:val="20"/>
                    <w:szCs w:val="20"/>
                  </w:rPr>
                </w:pPr>
                <w:r w:rsidRPr="006848BB">
                  <w:rPr>
                    <w:rFonts w:cs="Arial"/>
                    <w:sz w:val="20"/>
                    <w:szCs w:val="20"/>
                  </w:rPr>
                  <w:t>Dima Abosaleh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31CF8E" w14:textId="77777777" w:rsidR="006848BB" w:rsidRPr="006848BB" w:rsidRDefault="006848BB" w:rsidP="006848BB">
                <w:pPr>
                  <w:rPr>
                    <w:rFonts w:cs="Arial"/>
                    <w:sz w:val="20"/>
                    <w:szCs w:val="20"/>
                  </w:rPr>
                </w:pPr>
                <w:r w:rsidRPr="006848BB">
                  <w:rPr>
                    <w:rFonts w:cs="Arial"/>
                    <w:sz w:val="20"/>
                    <w:szCs w:val="20"/>
                  </w:rPr>
                  <w:t>Rania Alobari</w:t>
                </w:r>
              </w:p>
              <w:p w14:paraId="5FF43E05" w14:textId="77777777" w:rsidR="006848BB" w:rsidRPr="006848BB" w:rsidRDefault="006848BB" w:rsidP="006848BB">
                <w:pPr>
                  <w:rPr>
                    <w:rFonts w:cs="Arial"/>
                    <w:sz w:val="20"/>
                    <w:szCs w:val="20"/>
                  </w:rPr>
                </w:pPr>
                <w:r w:rsidRPr="006848BB">
                  <w:rPr>
                    <w:rFonts w:cs="Arial"/>
                    <w:sz w:val="20"/>
                    <w:szCs w:val="20"/>
                  </w:rPr>
                  <w:t>Rafat Malkawi</w:t>
                </w:r>
              </w:p>
              <w:p w14:paraId="37FC31F0" w14:textId="77777777" w:rsidR="006848BB" w:rsidRPr="006848BB" w:rsidRDefault="006848BB" w:rsidP="006848BB">
                <w:pPr>
                  <w:rPr>
                    <w:rFonts w:cs="Arial"/>
                    <w:sz w:val="20"/>
                    <w:szCs w:val="20"/>
                  </w:rPr>
                </w:pPr>
                <w:r w:rsidRPr="006848BB">
                  <w:rPr>
                    <w:rFonts w:cs="Arial"/>
                    <w:sz w:val="20"/>
                    <w:szCs w:val="20"/>
                  </w:rPr>
                  <w:t>Sasikalan Subrayan</w:t>
                </w:r>
              </w:p>
              <w:p w14:paraId="6114A225" w14:textId="77777777" w:rsidR="006848BB" w:rsidRPr="006848BB" w:rsidRDefault="006848BB" w:rsidP="006848BB">
                <w:pPr>
                  <w:rPr>
                    <w:rFonts w:cs="Arial"/>
                    <w:sz w:val="20"/>
                    <w:szCs w:val="20"/>
                  </w:rPr>
                </w:pPr>
                <w:r w:rsidRPr="006848BB">
                  <w:rPr>
                    <w:rFonts w:cs="Arial"/>
                    <w:sz w:val="20"/>
                    <w:szCs w:val="20"/>
                  </w:rPr>
                  <w:t>Sozan Alqarni</w:t>
                </w:r>
              </w:p>
              <w:p w14:paraId="6F9D5D19" w14:textId="77777777" w:rsidR="006848BB" w:rsidRPr="006848BB" w:rsidRDefault="006848BB" w:rsidP="006848BB">
                <w:pPr>
                  <w:rPr>
                    <w:rFonts w:cs="Arial"/>
                    <w:sz w:val="20"/>
                    <w:szCs w:val="20"/>
                  </w:rPr>
                </w:pPr>
                <w:r w:rsidRPr="006848BB">
                  <w:rPr>
                    <w:rFonts w:cs="Arial"/>
                    <w:sz w:val="20"/>
                    <w:szCs w:val="20"/>
                  </w:rPr>
                  <w:t>Bader Alhazaa</w:t>
                </w:r>
              </w:p>
              <w:p w14:paraId="03098B5C" w14:textId="77777777" w:rsidR="006848BB" w:rsidRPr="006848BB" w:rsidRDefault="006848BB" w:rsidP="006848BB">
                <w:pPr>
                  <w:rPr>
                    <w:rFonts w:cs="Arial"/>
                    <w:sz w:val="20"/>
                    <w:szCs w:val="20"/>
                  </w:rPr>
                </w:pPr>
                <w:r w:rsidRPr="006848BB">
                  <w:rPr>
                    <w:rFonts w:cs="Arial"/>
                    <w:sz w:val="20"/>
                    <w:szCs w:val="20"/>
                  </w:rPr>
                  <w:t>Sawsan Albalawi</w:t>
                </w:r>
              </w:p>
              <w:p w14:paraId="203404E4" w14:textId="77777777" w:rsidR="006848BB" w:rsidRPr="006848BB" w:rsidRDefault="006848BB" w:rsidP="006848BB">
                <w:pPr>
                  <w:rPr>
                    <w:rFonts w:cs="Arial"/>
                    <w:sz w:val="20"/>
                    <w:szCs w:val="20"/>
                  </w:rPr>
                </w:pPr>
                <w:r w:rsidRPr="006848BB">
                  <w:rPr>
                    <w:rFonts w:cs="Arial"/>
                    <w:sz w:val="20"/>
                    <w:szCs w:val="20"/>
                  </w:rPr>
                  <w:t>Saif Almutaeri</w:t>
                </w:r>
              </w:p>
              <w:p w14:paraId="06AC68B7" w14:textId="77777777" w:rsidR="006848BB" w:rsidRPr="006848BB" w:rsidRDefault="006848BB" w:rsidP="006848BB">
                <w:pPr>
                  <w:rPr>
                    <w:rFonts w:cs="Arial"/>
                    <w:sz w:val="20"/>
                    <w:szCs w:val="20"/>
                  </w:rPr>
                </w:pPr>
                <w:r w:rsidRPr="006848BB">
                  <w:rPr>
                    <w:rFonts w:cs="Arial"/>
                    <w:sz w:val="20"/>
                    <w:szCs w:val="20"/>
                  </w:rPr>
                  <w:t>Leodivina Abel Reyes</w:t>
                </w:r>
              </w:p>
              <w:p w14:paraId="68D5A190" w14:textId="1F39DC58" w:rsidR="0096065F" w:rsidRPr="0096065F" w:rsidRDefault="006848BB" w:rsidP="006848BB">
                <w:pPr>
                  <w:rPr>
                    <w:rFonts w:cs="Arial"/>
                    <w:sz w:val="20"/>
                    <w:szCs w:val="20"/>
                  </w:rPr>
                </w:pPr>
                <w:r w:rsidRPr="006848BB">
                  <w:rPr>
                    <w:rFonts w:cs="Arial"/>
                    <w:sz w:val="20"/>
                    <w:szCs w:val="20"/>
                  </w:rPr>
                  <w:t>Saud AlEnazi</w:t>
                </w:r>
              </w:p>
            </w:tc>
          </w:sdtContent>
        </w:sdt>
      </w:tr>
    </w:tbl>
    <w:p w14:paraId="41E02313" w14:textId="77777777" w:rsidR="00B749DB" w:rsidRPr="00DD439D" w:rsidRDefault="00B749DB" w:rsidP="00976BB0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69C5" w14:textId="77777777" w:rsidR="00635D8C" w:rsidRDefault="00635D8C" w:rsidP="00DA3815">
      <w:pPr>
        <w:spacing w:line="240" w:lineRule="auto"/>
      </w:pPr>
      <w:r>
        <w:separator/>
      </w:r>
    </w:p>
  </w:endnote>
  <w:endnote w:type="continuationSeparator" w:id="0">
    <w:p w14:paraId="7662DF42" w14:textId="77777777" w:rsidR="00635D8C" w:rsidRDefault="00635D8C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E1686" w14:textId="77777777" w:rsidR="00635D8C" w:rsidRDefault="00635D8C" w:rsidP="00DA3815">
      <w:pPr>
        <w:spacing w:line="240" w:lineRule="auto"/>
      </w:pPr>
      <w:r>
        <w:separator/>
      </w:r>
    </w:p>
  </w:footnote>
  <w:footnote w:type="continuationSeparator" w:id="0">
    <w:p w14:paraId="51601E97" w14:textId="77777777" w:rsidR="00635D8C" w:rsidRDefault="00635D8C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888"/>
    <w:multiLevelType w:val="hybridMultilevel"/>
    <w:tmpl w:val="342C0C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8EC"/>
    <w:multiLevelType w:val="hybridMultilevel"/>
    <w:tmpl w:val="342C0C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655FF"/>
    <w:multiLevelType w:val="hybridMultilevel"/>
    <w:tmpl w:val="DB1AF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29"/>
  </w:num>
  <w:num w:numId="5">
    <w:abstractNumId w:val="2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26"/>
  </w:num>
  <w:num w:numId="12">
    <w:abstractNumId w:val="24"/>
  </w:num>
  <w:num w:numId="13">
    <w:abstractNumId w:val="4"/>
  </w:num>
  <w:num w:numId="14">
    <w:abstractNumId w:val="18"/>
  </w:num>
  <w:num w:numId="15">
    <w:abstractNumId w:val="19"/>
  </w:num>
  <w:num w:numId="16">
    <w:abstractNumId w:val="30"/>
  </w:num>
  <w:num w:numId="17">
    <w:abstractNumId w:val="20"/>
  </w:num>
  <w:num w:numId="18">
    <w:abstractNumId w:val="2"/>
  </w:num>
  <w:num w:numId="19">
    <w:abstractNumId w:val="17"/>
  </w:num>
  <w:num w:numId="20">
    <w:abstractNumId w:val="10"/>
  </w:num>
  <w:num w:numId="21">
    <w:abstractNumId w:val="23"/>
  </w:num>
  <w:num w:numId="22">
    <w:abstractNumId w:val="16"/>
  </w:num>
  <w:num w:numId="23">
    <w:abstractNumId w:val="12"/>
  </w:num>
  <w:num w:numId="24">
    <w:abstractNumId w:val="13"/>
  </w:num>
  <w:num w:numId="25">
    <w:abstractNumId w:val="31"/>
  </w:num>
  <w:num w:numId="26">
    <w:abstractNumId w:val="27"/>
  </w:num>
  <w:num w:numId="27">
    <w:abstractNumId w:val="11"/>
  </w:num>
  <w:num w:numId="28">
    <w:abstractNumId w:val="28"/>
  </w:num>
  <w:num w:numId="29">
    <w:abstractNumId w:val="22"/>
  </w:num>
  <w:num w:numId="30">
    <w:abstractNumId w:val="32"/>
  </w:num>
  <w:num w:numId="31">
    <w:abstractNumId w:val="25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5DDD"/>
    <w:rsid w:val="00067B3B"/>
    <w:rsid w:val="00076024"/>
    <w:rsid w:val="0008253B"/>
    <w:rsid w:val="00097EAF"/>
    <w:rsid w:val="000D71CC"/>
    <w:rsid w:val="000E06C4"/>
    <w:rsid w:val="000F31F0"/>
    <w:rsid w:val="000F3ADD"/>
    <w:rsid w:val="0010080E"/>
    <w:rsid w:val="001244EA"/>
    <w:rsid w:val="00124C6D"/>
    <w:rsid w:val="00125AEE"/>
    <w:rsid w:val="00167BF1"/>
    <w:rsid w:val="00186948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34D49"/>
    <w:rsid w:val="0035648C"/>
    <w:rsid w:val="00362771"/>
    <w:rsid w:val="00363BB4"/>
    <w:rsid w:val="0037000B"/>
    <w:rsid w:val="003726D7"/>
    <w:rsid w:val="00374354"/>
    <w:rsid w:val="00377B5B"/>
    <w:rsid w:val="003D4C9D"/>
    <w:rsid w:val="004354BE"/>
    <w:rsid w:val="00440AFE"/>
    <w:rsid w:val="004714F0"/>
    <w:rsid w:val="004820D2"/>
    <w:rsid w:val="004910B3"/>
    <w:rsid w:val="00493ED8"/>
    <w:rsid w:val="004A4AD7"/>
    <w:rsid w:val="004D2577"/>
    <w:rsid w:val="00504D15"/>
    <w:rsid w:val="005109DB"/>
    <w:rsid w:val="00511D7C"/>
    <w:rsid w:val="00522F51"/>
    <w:rsid w:val="0052368C"/>
    <w:rsid w:val="00547293"/>
    <w:rsid w:val="00570D98"/>
    <w:rsid w:val="00581F4F"/>
    <w:rsid w:val="00597FE0"/>
    <w:rsid w:val="005C1064"/>
    <w:rsid w:val="005F78B0"/>
    <w:rsid w:val="00616BAB"/>
    <w:rsid w:val="00635D8C"/>
    <w:rsid w:val="00637491"/>
    <w:rsid w:val="00642462"/>
    <w:rsid w:val="0065184C"/>
    <w:rsid w:val="00651AD8"/>
    <w:rsid w:val="006848BB"/>
    <w:rsid w:val="006C3F74"/>
    <w:rsid w:val="006C5CC5"/>
    <w:rsid w:val="006D2AF3"/>
    <w:rsid w:val="006D63B1"/>
    <w:rsid w:val="006E52AF"/>
    <w:rsid w:val="00727285"/>
    <w:rsid w:val="00754BC1"/>
    <w:rsid w:val="00760950"/>
    <w:rsid w:val="0076391E"/>
    <w:rsid w:val="007C5B94"/>
    <w:rsid w:val="007D68EF"/>
    <w:rsid w:val="0080056A"/>
    <w:rsid w:val="00847F33"/>
    <w:rsid w:val="008A3BB1"/>
    <w:rsid w:val="008B786E"/>
    <w:rsid w:val="008E400D"/>
    <w:rsid w:val="008E49C2"/>
    <w:rsid w:val="008E6640"/>
    <w:rsid w:val="008E6EAD"/>
    <w:rsid w:val="00902833"/>
    <w:rsid w:val="00923B4A"/>
    <w:rsid w:val="00944197"/>
    <w:rsid w:val="0096065F"/>
    <w:rsid w:val="00964042"/>
    <w:rsid w:val="0097107A"/>
    <w:rsid w:val="00976BB0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9E7B72"/>
    <w:rsid w:val="00A11756"/>
    <w:rsid w:val="00A22B24"/>
    <w:rsid w:val="00A2683F"/>
    <w:rsid w:val="00A70EA8"/>
    <w:rsid w:val="00A86B8A"/>
    <w:rsid w:val="00AE2E61"/>
    <w:rsid w:val="00AE6D86"/>
    <w:rsid w:val="00AF2E89"/>
    <w:rsid w:val="00B236BD"/>
    <w:rsid w:val="00B26296"/>
    <w:rsid w:val="00B57125"/>
    <w:rsid w:val="00B67535"/>
    <w:rsid w:val="00B749DB"/>
    <w:rsid w:val="00B77D5E"/>
    <w:rsid w:val="00B845E4"/>
    <w:rsid w:val="00BB18B7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DD45F2"/>
    <w:rsid w:val="00E233DA"/>
    <w:rsid w:val="00E23C1B"/>
    <w:rsid w:val="00E53924"/>
    <w:rsid w:val="00E92D76"/>
    <w:rsid w:val="00EB0D7B"/>
    <w:rsid w:val="00ED38E1"/>
    <w:rsid w:val="00F11F8C"/>
    <w:rsid w:val="00F34060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161C76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161C76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161C76"/>
    <w:rsid w:val="0016310B"/>
    <w:rsid w:val="001B2C24"/>
    <w:rsid w:val="004C412D"/>
    <w:rsid w:val="004D6A5F"/>
    <w:rsid w:val="004E432E"/>
    <w:rsid w:val="006D67F3"/>
    <w:rsid w:val="0076465D"/>
    <w:rsid w:val="007E62B5"/>
    <w:rsid w:val="008F2750"/>
    <w:rsid w:val="0099364E"/>
    <w:rsid w:val="009C63E1"/>
    <w:rsid w:val="009D4188"/>
    <w:rsid w:val="009D7071"/>
    <w:rsid w:val="00AF04DC"/>
    <w:rsid w:val="00B254DF"/>
    <w:rsid w:val="00BC5EC8"/>
    <w:rsid w:val="00C253A4"/>
    <w:rsid w:val="00C465D8"/>
    <w:rsid w:val="00CC3F6B"/>
    <w:rsid w:val="00CC6684"/>
    <w:rsid w:val="00E17380"/>
    <w:rsid w:val="00EE58D8"/>
    <w:rsid w:val="00EE6124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7F3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E357-82D1-4AF9-B295-19209BA3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3</cp:revision>
  <cp:lastPrinted>2017-12-31T20:40:00Z</cp:lastPrinted>
  <dcterms:created xsi:type="dcterms:W3CDTF">2018-03-04T12:04:00Z</dcterms:created>
  <dcterms:modified xsi:type="dcterms:W3CDTF">2018-03-04T12:05:00Z</dcterms:modified>
</cp:coreProperties>
</file>