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41F44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1593708E" w:rsidR="00BD5296" w:rsidRPr="00321654" w:rsidRDefault="008D0A6C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D0A6C">
                  <w:rPr>
                    <w:rFonts w:cs="Arial"/>
                    <w:color w:val="000000" w:themeColor="text1"/>
                    <w:sz w:val="20"/>
                    <w:szCs w:val="20"/>
                  </w:rPr>
                  <w:t>General Maintenance of Inpatient Rooms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52E0FF24" w:rsidR="00FC3EA3" w:rsidRPr="00321654" w:rsidRDefault="008D0A6C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8D0A6C">
                  <w:rPr>
                    <w:rFonts w:cs="Arial"/>
                    <w:color w:val="000000" w:themeColor="text1"/>
                    <w:sz w:val="20"/>
                  </w:rPr>
                  <w:t>Engineering, Utilities and Maintenance (EU&amp;M)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1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79AF26FF" w:rsidR="00944197" w:rsidRPr="00321654" w:rsidRDefault="008D0A6C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01-15-2017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9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21C6F66E" w:rsidR="00944197" w:rsidRPr="00321654" w:rsidRDefault="008D0A6C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09-15-2017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43FF54D5" w:rsidR="00000E88" w:rsidRPr="00B67535" w:rsidRDefault="0021706F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(</w:t>
                </w:r>
                <w:r w:rsidRPr="0021706F">
                  <w:rPr>
                    <w:rFonts w:cs="Arial"/>
                    <w:color w:val="000000" w:themeColor="text1"/>
                    <w:sz w:val="20"/>
                    <w:szCs w:val="20"/>
                  </w:rPr>
                  <w:t>EU&amp;M) developed a preventive maintenance schedule to each of 156 in-patient rooms, which could not be performed due to patient occupancy. Many of these rooms could not be accessed by the maintenance staff for several months.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10A5D334" w:rsidR="00000E88" w:rsidRPr="000A7FF5" w:rsidRDefault="000A7FF5" w:rsidP="000A7F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A7FF5">
              <w:rPr>
                <w:rFonts w:cs="Arial"/>
                <w:color w:val="000000" w:themeColor="text1"/>
                <w:sz w:val="20"/>
                <w:szCs w:val="20"/>
              </w:rPr>
              <w:t>improve the provision of scheduled maintenance services by blocking the rooms and providing one time maintenance for all the disciplines in order to minimize maintenance calls during patient occupancy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BB5DB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2EC414C7" w:rsidR="00000E88" w:rsidRPr="0037000B" w:rsidRDefault="00BB5DB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F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310C70FD" w:rsidR="00000E88" w:rsidRPr="0037000B" w:rsidRDefault="00BB5DB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F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0F03293F" w:rsidR="00000E88" w:rsidRPr="0037000B" w:rsidRDefault="00BB5DB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F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44F25617" w:rsidR="00000E88" w:rsidRPr="0037000B" w:rsidRDefault="00BB5DB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FF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BB5DB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2DD2D100" w:rsidR="00000E88" w:rsidRPr="0037000B" w:rsidRDefault="006D442C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Timely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318CD4D6" w:rsidR="001942D3" w:rsidRDefault="002765BB" w:rsidP="006D442C">
                  <w:pPr>
                    <w:tabs>
                      <w:tab w:val="left" w:pos="1365"/>
                    </w:tabs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765BB">
                    <w:rPr>
                      <w:rFonts w:cs="Arial"/>
                      <w:color w:val="000000" w:themeColor="text1"/>
                      <w:sz w:val="20"/>
                    </w:rPr>
                    <w:t>Number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2765BB">
                    <w:rPr>
                      <w:rFonts w:cs="Arial"/>
                      <w:color w:val="000000" w:themeColor="text1"/>
                      <w:sz w:val="20"/>
                    </w:rPr>
                    <w:t xml:space="preserve"> of maintenance calls for in-patient rooms</w:t>
                  </w:r>
                  <w:r w:rsidR="006D442C">
                    <w:rPr>
                      <w:rFonts w:cs="Arial"/>
                      <w:color w:val="000000" w:themeColor="text1"/>
                      <w:sz w:val="20"/>
                    </w:rPr>
                    <w:tab/>
                  </w:r>
                </w:p>
              </w:tc>
              <w:tc>
                <w:tcPr>
                  <w:tcW w:w="5143" w:type="dxa"/>
                </w:tcPr>
                <w:p w14:paraId="7530E8F7" w14:textId="337C0F33" w:rsidR="001942D3" w:rsidRPr="0021706F" w:rsidRDefault="0021706F" w:rsidP="0021706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1706F">
                    <w:rPr>
                      <w:rFonts w:cs="Arial"/>
                      <w:color w:val="000000" w:themeColor="text1"/>
                      <w:sz w:val="20"/>
                    </w:rPr>
                    <w:t>Reduce the number of maintenance calls for in-patient rooms received at Work Control Centre by 75% at the end of Sep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5E98214" w14:textId="77777777" w:rsidR="006D442C" w:rsidRPr="000A7D11" w:rsidRDefault="006D442C" w:rsidP="006D442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A7D11">
              <w:rPr>
                <w:rFonts w:cs="Arial"/>
                <w:color w:val="000000" w:themeColor="text1"/>
                <w:sz w:val="20"/>
                <w:szCs w:val="20"/>
              </w:rPr>
              <w:t>Room Grouped (RG) for inpatient room in order to schedule and perform the general maintenance to these rooms during the same time period</w:t>
            </w:r>
          </w:p>
          <w:p w14:paraId="7A300BD5" w14:textId="77777777" w:rsidR="006D442C" w:rsidRPr="000A7D11" w:rsidRDefault="006D442C" w:rsidP="006D442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A7D11">
              <w:rPr>
                <w:rFonts w:cs="Arial"/>
                <w:color w:val="000000" w:themeColor="text1"/>
                <w:sz w:val="20"/>
                <w:szCs w:val="20"/>
              </w:rPr>
              <w:t>In-coordination with the Nursing Affairs prepared a schedule to block the selected group of in-patient rooms for 10 days, to perform maintenance activities. The grouping was arranged and planned to complete all the inpatient rooms in one year.</w:t>
            </w:r>
          </w:p>
          <w:p w14:paraId="09D194FC" w14:textId="77777777" w:rsidR="00DD439D" w:rsidRPr="000A7D11" w:rsidRDefault="006D442C" w:rsidP="006D442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0A7D11">
              <w:rPr>
                <w:rFonts w:cs="Arial"/>
                <w:color w:val="000000" w:themeColor="text1"/>
                <w:sz w:val="20"/>
                <w:szCs w:val="20"/>
              </w:rPr>
              <w:t>The maintenance is aimed to “replacement” rather than “repair” which would minimize the maintenance requirements to these rooms.</w:t>
            </w:r>
          </w:p>
          <w:p w14:paraId="61BF439E" w14:textId="2042F107" w:rsidR="000A7D11" w:rsidRPr="00DD439D" w:rsidRDefault="000A7D11" w:rsidP="000A7D11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A5DE7F8" w14:textId="77777777" w:rsidR="00DD439D" w:rsidRDefault="006D442C" w:rsidP="000A7D11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57F3222" wp14:editId="4BB3015E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BEB41DA" w14:textId="77777777" w:rsidR="006D442C" w:rsidRDefault="006D442C" w:rsidP="006D442C">
            <w:pPr>
              <w:rPr>
                <w:rFonts w:cs="Arial"/>
                <w:color w:val="000000" w:themeColor="text1"/>
                <w:sz w:val="20"/>
              </w:rPr>
            </w:pPr>
          </w:p>
          <w:p w14:paraId="2CD103C2" w14:textId="16F73167" w:rsidR="006D442C" w:rsidRP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1-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>The horizontal axis shows the group of in-patient rooms (RG-1 to RG-7), each group consists of four (4) rooms</w:t>
            </w:r>
          </w:p>
          <w:p w14:paraId="6989EFD5" w14:textId="2E76DC61" w:rsidR="006D442C" w:rsidRP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2-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 xml:space="preserve">The vertical axis shows the number of maintenance calls received at Work Control Centre during six (6) months </w:t>
            </w:r>
            <w:r>
              <w:rPr>
                <w:rFonts w:cs="Arial"/>
                <w:color w:val="000000" w:themeColor="text1"/>
                <w:sz w:val="20"/>
              </w:rPr>
              <w:t xml:space="preserve">     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>period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6BC2ADB8" w14:textId="51CDD541" w:rsidR="006D442C" w:rsidRP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3-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 xml:space="preserve">The six months duration  for “After” completing the PI project is “Jan-Jun 2017” </w:t>
            </w:r>
          </w:p>
          <w:p w14:paraId="268F68E7" w14:textId="69AB5F86" w:rsidR="006D442C" w:rsidRP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4-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 xml:space="preserve">The six months duration  for “Before” PI project is “Jul-Dec 2016” </w:t>
            </w:r>
          </w:p>
          <w:p w14:paraId="20F1444A" w14:textId="77777777" w:rsid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5-</w:t>
            </w:r>
            <w:r w:rsidR="006D442C" w:rsidRPr="006D442C">
              <w:rPr>
                <w:rFonts w:cs="Arial"/>
                <w:color w:val="000000" w:themeColor="text1"/>
                <w:sz w:val="20"/>
              </w:rPr>
              <w:t xml:space="preserve">The result shown above is for 28 in-patient rooms completed during six months period (Jan-Jun 2017). The average reduction for these rooms is 73%, which is expected to go below 75% when all the in-patient rooms are completed during one year period.  </w:t>
            </w:r>
          </w:p>
          <w:p w14:paraId="6DD56984" w14:textId="77777777" w:rsidR="00600D5F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</w:p>
          <w:p w14:paraId="62D5968F" w14:textId="4D947F4C" w:rsidR="00600D5F" w:rsidRDefault="00600D5F" w:rsidP="000A7D1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E457E8" wp14:editId="570D3C31">
                  <wp:extent cx="4572000" cy="274320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E128C0A" w14:textId="3B9C7921" w:rsidR="00600D5F" w:rsidRPr="006D442C" w:rsidRDefault="00600D5F" w:rsidP="006D442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57B25CD7" w:rsidR="001D1B42" w:rsidRPr="00DD439D" w:rsidRDefault="00600D5F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Mazen Maghrabi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4270F7" w14:textId="77777777" w:rsidR="00600D5F" w:rsidRPr="00600D5F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Marwan Mohammed Aljefri</w:t>
                </w:r>
              </w:p>
              <w:p w14:paraId="07F494C4" w14:textId="77777777" w:rsidR="00600D5F" w:rsidRPr="00600D5F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Syed Zulwiqar Ali</w:t>
                </w:r>
              </w:p>
              <w:p w14:paraId="4CFBDF4C" w14:textId="77777777" w:rsidR="00600D5F" w:rsidRPr="00600D5F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Abdul Rahman Ali Al Qahtani</w:t>
                </w:r>
              </w:p>
              <w:p w14:paraId="75B23402" w14:textId="77777777" w:rsidR="00600D5F" w:rsidRPr="00600D5F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Asim Soliman Albder</w:t>
                </w:r>
              </w:p>
              <w:p w14:paraId="508222EB" w14:textId="77777777" w:rsidR="00600D5F" w:rsidRPr="00600D5F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Janis Patricia Bruyns</w:t>
                </w:r>
              </w:p>
              <w:p w14:paraId="53684B26" w14:textId="2B826451" w:rsidR="001D1B42" w:rsidRPr="00DD439D" w:rsidRDefault="00600D5F" w:rsidP="00600D5F">
                <w:pPr>
                  <w:rPr>
                    <w:rFonts w:cs="Arial"/>
                    <w:sz w:val="20"/>
                    <w:szCs w:val="20"/>
                  </w:rPr>
                </w:pPr>
                <w:r w:rsidRPr="00600D5F">
                  <w:rPr>
                    <w:rFonts w:cs="Arial"/>
                    <w:sz w:val="20"/>
                    <w:szCs w:val="20"/>
                  </w:rPr>
                  <w:t>Dania Arabi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A7D11"/>
    <w:rsid w:val="000A7FF5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1706F"/>
    <w:rsid w:val="0023755E"/>
    <w:rsid w:val="00274E65"/>
    <w:rsid w:val="002765BB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A5D4E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00D5F"/>
    <w:rsid w:val="00616BAB"/>
    <w:rsid w:val="00642462"/>
    <w:rsid w:val="0065184C"/>
    <w:rsid w:val="006C3F74"/>
    <w:rsid w:val="006C5CC5"/>
    <w:rsid w:val="006D442C"/>
    <w:rsid w:val="006D63B1"/>
    <w:rsid w:val="0076391E"/>
    <w:rsid w:val="007D68EF"/>
    <w:rsid w:val="0080056A"/>
    <w:rsid w:val="00847F33"/>
    <w:rsid w:val="008B786E"/>
    <w:rsid w:val="008D0A6C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96210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777C21"/>
  <w15:docId w15:val="{00108C7B-52C7-4A94-B037-BC5BABD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Maintenance Calls for Six</a:t>
            </a:r>
            <a:r>
              <a:rPr lang="en-US" baseline="0"/>
              <a:t> Consecutive Months Received at Work Control Centre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Chart!$B$21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Chart!$A$22:$A$28</c:f>
              <c:strCache>
                <c:ptCount val="7"/>
                <c:pt idx="0">
                  <c:v>RG-1</c:v>
                </c:pt>
                <c:pt idx="1">
                  <c:v>RG-2</c:v>
                </c:pt>
                <c:pt idx="2">
                  <c:v>RG-3</c:v>
                </c:pt>
                <c:pt idx="3">
                  <c:v>RG-4</c:v>
                </c:pt>
                <c:pt idx="4">
                  <c:v>RG-5</c:v>
                </c:pt>
                <c:pt idx="5">
                  <c:v>RG-6</c:v>
                </c:pt>
                <c:pt idx="6">
                  <c:v>RG-7</c:v>
                </c:pt>
              </c:strCache>
            </c:strRef>
          </c:cat>
          <c:val>
            <c:numRef>
              <c:f>Chart!$B$22:$B$28</c:f>
              <c:numCache>
                <c:formatCode>General</c:formatCode>
                <c:ptCount val="7"/>
                <c:pt idx="0">
                  <c:v>82</c:v>
                </c:pt>
                <c:pt idx="1">
                  <c:v>66</c:v>
                </c:pt>
                <c:pt idx="2">
                  <c:v>75</c:v>
                </c:pt>
                <c:pt idx="3">
                  <c:v>90</c:v>
                </c:pt>
                <c:pt idx="4">
                  <c:v>62</c:v>
                </c:pt>
                <c:pt idx="5">
                  <c:v>65</c:v>
                </c:pt>
                <c:pt idx="6">
                  <c:v>71</c:v>
                </c:pt>
              </c:numCache>
            </c:numRef>
          </c:val>
        </c:ser>
        <c:ser>
          <c:idx val="1"/>
          <c:order val="1"/>
          <c:tx>
            <c:strRef>
              <c:f>Chart!$C$21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Chart!$A$22:$A$28</c:f>
              <c:strCache>
                <c:ptCount val="7"/>
                <c:pt idx="0">
                  <c:v>RG-1</c:v>
                </c:pt>
                <c:pt idx="1">
                  <c:v>RG-2</c:v>
                </c:pt>
                <c:pt idx="2">
                  <c:v>RG-3</c:v>
                </c:pt>
                <c:pt idx="3">
                  <c:v>RG-4</c:v>
                </c:pt>
                <c:pt idx="4">
                  <c:v>RG-5</c:v>
                </c:pt>
                <c:pt idx="5">
                  <c:v>RG-6</c:v>
                </c:pt>
                <c:pt idx="6">
                  <c:v>RG-7</c:v>
                </c:pt>
              </c:strCache>
            </c:strRef>
          </c:cat>
          <c:val>
            <c:numRef>
              <c:f>Chart!$C$22:$C$28</c:f>
              <c:numCache>
                <c:formatCode>General</c:formatCode>
                <c:ptCount val="7"/>
                <c:pt idx="0">
                  <c:v>16</c:v>
                </c:pt>
                <c:pt idx="1">
                  <c:v>17</c:v>
                </c:pt>
                <c:pt idx="2">
                  <c:v>16</c:v>
                </c:pt>
                <c:pt idx="3">
                  <c:v>22</c:v>
                </c:pt>
                <c:pt idx="4">
                  <c:v>19</c:v>
                </c:pt>
                <c:pt idx="5">
                  <c:v>25</c:v>
                </c:pt>
                <c:pt idx="6">
                  <c:v>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3625776"/>
        <c:axId val="453622416"/>
      </c:barChart>
      <c:catAx>
        <c:axId val="45362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622416"/>
        <c:crosses val="autoZero"/>
        <c:auto val="1"/>
        <c:lblAlgn val="ctr"/>
        <c:lblOffset val="100"/>
        <c:noMultiLvlLbl val="0"/>
      </c:catAx>
      <c:valAx>
        <c:axId val="4536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62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No. of maintenance calls received for all the rooms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rgbClr val="4F81BD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'Maintenance Calls (2)'!$R$6:$AC$6</c:f>
              <c:strCache>
                <c:ptCount val="12"/>
                <c:pt idx="0">
                  <c:v>JUL'16</c:v>
                </c:pt>
                <c:pt idx="1">
                  <c:v>AUG</c:v>
                </c:pt>
                <c:pt idx="2">
                  <c:v>SEP 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Jun'17</c:v>
                </c:pt>
              </c:strCache>
            </c:strRef>
          </c:cat>
          <c:val>
            <c:numRef>
              <c:f>'Maintenance Calls (2)'!$R$7:$AC$7</c:f>
              <c:numCache>
                <c:formatCode>General</c:formatCode>
                <c:ptCount val="12"/>
                <c:pt idx="0">
                  <c:v>74</c:v>
                </c:pt>
                <c:pt idx="1">
                  <c:v>122</c:v>
                </c:pt>
                <c:pt idx="2">
                  <c:v>82</c:v>
                </c:pt>
                <c:pt idx="3">
                  <c:v>71</c:v>
                </c:pt>
                <c:pt idx="4">
                  <c:v>81</c:v>
                </c:pt>
                <c:pt idx="5">
                  <c:v>81</c:v>
                </c:pt>
                <c:pt idx="6">
                  <c:v>38</c:v>
                </c:pt>
                <c:pt idx="7">
                  <c:v>17</c:v>
                </c:pt>
                <c:pt idx="8">
                  <c:v>17</c:v>
                </c:pt>
                <c:pt idx="9">
                  <c:v>20</c:v>
                </c:pt>
                <c:pt idx="10">
                  <c:v>24</c:v>
                </c:pt>
                <c:pt idx="11">
                  <c:v>23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453621856"/>
        <c:axId val="453612896"/>
      </c:lineChart>
      <c:catAx>
        <c:axId val="45362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612896"/>
        <c:crosses val="autoZero"/>
        <c:auto val="1"/>
        <c:lblAlgn val="ctr"/>
        <c:lblOffset val="100"/>
        <c:noMultiLvlLbl val="0"/>
      </c:catAx>
      <c:valAx>
        <c:axId val="453612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362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A427-AD0A-408A-9CC5-E3464B28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2</cp:revision>
  <cp:lastPrinted>2017-12-31T20:40:00Z</cp:lastPrinted>
  <dcterms:created xsi:type="dcterms:W3CDTF">2018-04-18T13:02:00Z</dcterms:created>
  <dcterms:modified xsi:type="dcterms:W3CDTF">2018-04-18T13:02:00Z</dcterms:modified>
</cp:coreProperties>
</file>