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1AD39C71" w:rsidR="00B749DB" w:rsidRPr="00321654" w:rsidRDefault="00710FC3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A2177">
                  <w:rPr>
                    <w:rFonts w:asciiTheme="minorBidi" w:hAnsiTheme="minorBidi"/>
                    <w:sz w:val="24"/>
                    <w:szCs w:val="24"/>
                  </w:rPr>
                  <w:t>Improvement of work flow by decreasing the incorrect/ incomplete information of patients/ plan of care transferred to Home Health Care (HHC) from outpatient clinic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0D58B3A5" w:rsidR="00B749DB" w:rsidRPr="00321654" w:rsidRDefault="00710FC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CFA90D7" w:rsidR="00B749DB" w:rsidRPr="00321654" w:rsidRDefault="00710FC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A2177">
                  <w:rPr>
                    <w:rFonts w:cs="Arial"/>
                    <w:color w:val="000000" w:themeColor="text1"/>
                    <w:sz w:val="20"/>
                  </w:rPr>
                  <w:t>Family Medicine/  Home Health Care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7A55DC0E" w:rsidR="00B749DB" w:rsidRPr="00321654" w:rsidRDefault="00710FC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33A98C3" w:rsidR="00B749DB" w:rsidRPr="00321654" w:rsidRDefault="00710FC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6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373EE56" w:rsidR="00B749DB" w:rsidRPr="00321654" w:rsidRDefault="00710FC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06-30-2017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theme="minorBidi"/>
                <w:color w:val="000000" w:themeColor="text1"/>
                <w:sz w:val="20"/>
                <w:szCs w:val="20"/>
                <w:lang w:val="en-CA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27C7F650" w14:textId="4B8A5A8F" w:rsidR="00710FC3" w:rsidRPr="007A2177" w:rsidRDefault="00710FC3" w:rsidP="007A2177">
                <w:pPr>
                  <w:pStyle w:val="Default"/>
                  <w:rPr>
                    <w:color w:val="000000" w:themeColor="text1"/>
                    <w:sz w:val="20"/>
                    <w:szCs w:val="22"/>
                    <w:lang w:val="en-CA"/>
                  </w:rPr>
                </w:pPr>
                <w:r w:rsidRPr="007A2177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HHC </w:t>
                </w:r>
                <w:r w:rsidR="007A2177">
                  <w:rPr>
                    <w:color w:val="000000" w:themeColor="text1"/>
                    <w:sz w:val="20"/>
                    <w:szCs w:val="22"/>
                    <w:lang w:val="en-CA"/>
                  </w:rPr>
                  <w:t>was</w:t>
                </w:r>
                <w:r w:rsidRPr="007A2177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 receiving a referrals with</w:t>
                </w:r>
                <w:r w:rsidR="007A2177">
                  <w:rPr>
                    <w:color w:val="000000" w:themeColor="text1"/>
                    <w:sz w:val="20"/>
                    <w:szCs w:val="22"/>
                    <w:lang w:val="en-CA"/>
                  </w:rPr>
                  <w:t xml:space="preserve">out </w:t>
                </w:r>
                <w:r w:rsidRPr="007A2177">
                  <w:rPr>
                    <w:color w:val="000000" w:themeColor="text1"/>
                    <w:sz w:val="20"/>
                    <w:szCs w:val="22"/>
                    <w:lang w:val="en-CA"/>
                  </w:rPr>
                  <w:t>clear plan of care / incomplete information for patients seen and discharge from the outpatient clinic  before the HHC acceptance or even evaluation, as consequences, extra work will be done to clarify /complete the plan of care and this cause delay/rejection of the referral, and in other occasions it require to call patient to come back to hospital for proper evaluation</w:t>
                </w:r>
              </w:p>
              <w:p w14:paraId="2D6AA6D7" w14:textId="4B58C69B" w:rsidR="00B749DB" w:rsidRPr="00B67535" w:rsidRDefault="007A2177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3F66D6B" w14:textId="77777777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Decrease the percentage of patients with incorrect/ Incomplete information of patients transferred to (HHC) from outpatient clinic by 25 percent by the end of second quarter (Q2) of 2017</w:t>
            </w:r>
          </w:p>
          <w:p w14:paraId="6A385A65" w14:textId="77777777" w:rsidR="00B749DB" w:rsidRPr="004910B3" w:rsidRDefault="00B749DB" w:rsidP="00710FC3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7A217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F09858C" w:rsidR="00B749DB" w:rsidRPr="0037000B" w:rsidRDefault="007A217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04873A37" w:rsidR="00B749DB" w:rsidRPr="0037000B" w:rsidRDefault="007A217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7A217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3828098C" w:rsidR="00B749DB" w:rsidRPr="0037000B" w:rsidRDefault="007A217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C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7A217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56FB30D9" w:rsidR="00B749DB" w:rsidRPr="0037000B" w:rsidRDefault="00710FC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5805FAC" w:rsidR="00B749DB" w:rsidRPr="001942D3" w:rsidRDefault="00710FC3" w:rsidP="007A2177">
                  <w:pPr>
                    <w:ind w:left="35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2177">
                    <w:rPr>
                      <w:rFonts w:cs="Arial"/>
                      <w:color w:val="000000" w:themeColor="text1"/>
                      <w:sz w:val="20"/>
                    </w:rPr>
                    <w:t>percentage of patients with incorrect/ Incomplete information of patients transferred to (HHC) from outpatient clinic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0F0FDFD7" w:rsidR="00B749DB" w:rsidRPr="007A2177" w:rsidRDefault="00710FC3" w:rsidP="007A2177">
                  <w:pPr>
                    <w:ind w:left="35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2177">
                    <w:rPr>
                      <w:rFonts w:cs="Arial"/>
                      <w:color w:val="000000" w:themeColor="text1"/>
                      <w:sz w:val="20"/>
                    </w:rPr>
                    <w:t>25 % Reduction comparing with year 2016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D661C20" w14:textId="77777777" w:rsidR="00710FC3" w:rsidRPr="00AE0E78" w:rsidRDefault="00710FC3" w:rsidP="00710FC3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14:paraId="6151DC67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HHC E-Referral was updated in ICIS with new features and requirements (by collaboration of a team from HHC Jeddah &amp; Riyadh, HITA Jeddah &amp; Riyadh, out-patient members) (7th May 2017New referral gone on live)</w:t>
            </w:r>
          </w:p>
          <w:p w14:paraId="1C814106" w14:textId="77777777" w:rsidR="00710FC3" w:rsidRPr="007A2177" w:rsidRDefault="00710FC3" w:rsidP="007A2177">
            <w:pPr>
              <w:rPr>
                <w:rFonts w:cs="Arial"/>
                <w:color w:val="000000" w:themeColor="text1"/>
                <w:sz w:val="20"/>
              </w:rPr>
            </w:pPr>
          </w:p>
          <w:p w14:paraId="25A84259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The Completion of all the required data  become mandatory in the referral before the submission</w:t>
            </w:r>
          </w:p>
          <w:p w14:paraId="43060887" w14:textId="77777777" w:rsidR="00710FC3" w:rsidRPr="007A2177" w:rsidRDefault="00710FC3" w:rsidP="007A2177">
            <w:pPr>
              <w:rPr>
                <w:rFonts w:cs="Arial"/>
                <w:color w:val="000000" w:themeColor="text1"/>
                <w:sz w:val="20"/>
              </w:rPr>
            </w:pPr>
          </w:p>
          <w:p w14:paraId="598205B9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Making a special reoccurring encounter for HHC (help to enter the medication and order for the whole HHC admission duration without redoing a new encounter for each entry)</w:t>
            </w:r>
          </w:p>
          <w:p w14:paraId="6C226C83" w14:textId="77777777" w:rsidR="00710FC3" w:rsidRPr="007A2177" w:rsidRDefault="00710FC3" w:rsidP="007A2177">
            <w:pPr>
              <w:rPr>
                <w:rFonts w:cs="Arial"/>
                <w:color w:val="000000" w:themeColor="text1"/>
                <w:sz w:val="20"/>
              </w:rPr>
            </w:pPr>
          </w:p>
          <w:p w14:paraId="7FA9C36A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Making a Direct connection between the E-referral and ICIS for medication order and blood works</w:t>
            </w:r>
          </w:p>
          <w:p w14:paraId="2EBAB404" w14:textId="77777777" w:rsidR="00710FC3" w:rsidRPr="007A2177" w:rsidRDefault="00710FC3" w:rsidP="007A2177">
            <w:pPr>
              <w:rPr>
                <w:rFonts w:cs="Arial"/>
                <w:color w:val="000000" w:themeColor="text1"/>
                <w:sz w:val="20"/>
              </w:rPr>
            </w:pPr>
          </w:p>
          <w:p w14:paraId="4B98D6B1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Grand round presentation for education has been done by HHC (in collaboration with HITA &amp; ATA training Dep.) done on 20 April 2017</w:t>
            </w:r>
          </w:p>
          <w:p w14:paraId="41712AF4" w14:textId="77777777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</w:p>
          <w:p w14:paraId="2D89A6A3" w14:textId="2D16A6CC" w:rsidR="00710FC3" w:rsidRPr="007A2177" w:rsidRDefault="007A2177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G</w:t>
            </w:r>
            <w:r w:rsidRPr="007A2177">
              <w:rPr>
                <w:rFonts w:cs="Arial"/>
                <w:color w:val="000000" w:themeColor="text1"/>
                <w:sz w:val="20"/>
              </w:rPr>
              <w:t>eneral distribution</w:t>
            </w:r>
            <w:r w:rsidR="00710FC3" w:rsidRPr="007A2177">
              <w:rPr>
                <w:rFonts w:cs="Arial"/>
                <w:color w:val="000000" w:themeColor="text1"/>
                <w:sz w:val="20"/>
              </w:rPr>
              <w:t xml:space="preserve"> and </w:t>
            </w:r>
            <w:r>
              <w:rPr>
                <w:rFonts w:cs="Arial"/>
                <w:color w:val="000000" w:themeColor="text1"/>
                <w:sz w:val="20"/>
              </w:rPr>
              <w:t>newsletter were sent</w:t>
            </w:r>
            <w:r w:rsidR="00710FC3" w:rsidRPr="007A2177">
              <w:rPr>
                <w:rFonts w:cs="Arial"/>
                <w:color w:val="000000" w:themeColor="text1"/>
                <w:sz w:val="20"/>
              </w:rPr>
              <w:t xml:space="preserve"> to Chairmen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710FC3" w:rsidRPr="007A2177">
              <w:rPr>
                <w:rFonts w:cs="Arial"/>
                <w:color w:val="000000" w:themeColor="text1"/>
                <w:sz w:val="20"/>
              </w:rPr>
              <w:t>clarifying the new requirements and new features in the updated referral (Sent on April 2017)</w:t>
            </w:r>
          </w:p>
          <w:p w14:paraId="14CA8672" w14:textId="77777777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</w:p>
          <w:p w14:paraId="389484FA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Special communication with the high demand referring physicians to update them about the new and complete requirements (different meetings and communications with palliative, surgery and internal medicine physicians done)</w:t>
            </w:r>
          </w:p>
          <w:p w14:paraId="34BE4230" w14:textId="77777777" w:rsidR="00710FC3" w:rsidRPr="007A2177" w:rsidRDefault="00710FC3" w:rsidP="007A2177">
            <w:pPr>
              <w:rPr>
                <w:rFonts w:cs="Arial"/>
                <w:color w:val="000000" w:themeColor="text1"/>
                <w:sz w:val="20"/>
              </w:rPr>
            </w:pPr>
          </w:p>
          <w:p w14:paraId="01FDFD57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List of all required referral’s data is created and become available for the referring physicians</w:t>
            </w:r>
          </w:p>
          <w:p w14:paraId="07EC942D" w14:textId="77777777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</w:p>
          <w:p w14:paraId="19FD4437" w14:textId="77777777" w:rsidR="00710FC3" w:rsidRPr="007A2177" w:rsidRDefault="00710FC3" w:rsidP="007A2177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>Involving the related specialty (referral and plan of care should be submitted only after being reviewed and supported by the related specialty and this happen after a proper evaluation and acceptance of this related specialty)</w:t>
            </w:r>
          </w:p>
          <w:p w14:paraId="5900E502" w14:textId="77777777" w:rsidR="00B749DB" w:rsidRPr="00DD439D" w:rsidRDefault="00B749DB" w:rsidP="00710FC3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lastRenderedPageBreak/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449807EB" w:rsidR="00B749DB" w:rsidRPr="00710FC3" w:rsidRDefault="00710FC3" w:rsidP="00710FC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A6DEE0" wp14:editId="444B3994">
                  <wp:extent cx="4352925" cy="2809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676" cy="281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710FC3" w:rsidRPr="00DD439D" w14:paraId="01B2C299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65A30DF1" w:rsidR="00710FC3" w:rsidRPr="00DD439D" w:rsidRDefault="00710FC3" w:rsidP="00710FC3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7A2177">
                  <w:rPr>
                    <w:rFonts w:cs="Arial"/>
                    <w:color w:val="000000" w:themeColor="text1"/>
                    <w:sz w:val="20"/>
                  </w:rPr>
                  <w:t>Aref</w:t>
                </w:r>
                <w:proofErr w:type="spellEnd"/>
                <w:r w:rsidRPr="007A2177">
                  <w:rPr>
                    <w:rFonts w:cs="Arial"/>
                    <w:color w:val="000000" w:themeColor="text1"/>
                    <w:sz w:val="20"/>
                  </w:rPr>
                  <w:t xml:space="preserve"> </w:t>
                </w:r>
                <w:proofErr w:type="spellStart"/>
                <w:r w:rsidRPr="007A2177">
                  <w:rPr>
                    <w:rFonts w:cs="Arial"/>
                    <w:color w:val="000000" w:themeColor="text1"/>
                    <w:sz w:val="20"/>
                  </w:rPr>
                  <w:t>Abdallah</w:t>
                </w:r>
                <w:proofErr w:type="spellEnd"/>
                <w:r w:rsidRPr="007A2177">
                  <w:rPr>
                    <w:rFonts w:cs="Arial"/>
                    <w:color w:val="000000" w:themeColor="text1"/>
                    <w:sz w:val="20"/>
                  </w:rPr>
                  <w:t>, MD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6BAA758" w14:textId="638B59D9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 xml:space="preserve">Seyd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Nehal</w:t>
            </w:r>
            <w:proofErr w:type="spellEnd"/>
            <w:r w:rsidRPr="007A2177">
              <w:rPr>
                <w:rFonts w:cs="Arial"/>
                <w:color w:val="000000" w:themeColor="text1"/>
                <w:sz w:val="20"/>
              </w:rPr>
              <w:t xml:space="preserve"> Neamatullah, MD</w:t>
            </w:r>
          </w:p>
        </w:tc>
      </w:tr>
      <w:tr w:rsidR="00710FC3" w:rsidRPr="00DD439D" w14:paraId="6594E0DB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07A6EB4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63F5BE5D" w14:textId="1B83210E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Aletta</w:t>
            </w:r>
            <w:proofErr w:type="spellEnd"/>
            <w:r w:rsidRPr="007A2177">
              <w:rPr>
                <w:rFonts w:cs="Arial"/>
                <w:color w:val="000000" w:themeColor="text1"/>
                <w:sz w:val="20"/>
              </w:rPr>
              <w:t xml:space="preserve"> Barnard</w:t>
            </w:r>
            <w:bookmarkStart w:id="0" w:name="_GoBack"/>
            <w:bookmarkEnd w:id="0"/>
          </w:p>
        </w:tc>
      </w:tr>
      <w:tr w:rsidR="00710FC3" w:rsidRPr="00DD439D" w14:paraId="72D1F265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6DCAF32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B39C89C" w14:textId="7B4CF1EB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 xml:space="preserve">Al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Qahtani</w:t>
            </w:r>
            <w:proofErr w:type="spellEnd"/>
            <w:r w:rsidRPr="007A2177">
              <w:rPr>
                <w:rFonts w:cs="Arial"/>
                <w:color w:val="000000" w:themeColor="text1"/>
                <w:sz w:val="20"/>
              </w:rPr>
              <w:t xml:space="preserve"> Mohammad</w:t>
            </w:r>
          </w:p>
        </w:tc>
      </w:tr>
      <w:tr w:rsidR="00710FC3" w:rsidRPr="00DD439D" w14:paraId="3BEE2243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878E4D7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0EFD5E8" w14:textId="39A53D48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 xml:space="preserve">Erie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Analee</w:t>
            </w:r>
            <w:proofErr w:type="spellEnd"/>
          </w:p>
        </w:tc>
      </w:tr>
      <w:tr w:rsidR="00710FC3" w:rsidRPr="00DD439D" w14:paraId="21792AB7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F51A011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9767BD4" w14:textId="406878E2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Bagayo</w:t>
            </w:r>
            <w:proofErr w:type="spellEnd"/>
            <w:r w:rsidRPr="007A2177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Jenlyn</w:t>
            </w:r>
            <w:proofErr w:type="spellEnd"/>
          </w:p>
        </w:tc>
      </w:tr>
      <w:tr w:rsidR="00710FC3" w:rsidRPr="00DD439D" w14:paraId="7D23027C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EE56B6F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25760A2" w14:textId="432354DE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 xml:space="preserve">Jamal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ilyas</w:t>
            </w:r>
            <w:proofErr w:type="spellEnd"/>
          </w:p>
        </w:tc>
      </w:tr>
      <w:tr w:rsidR="00710FC3" w:rsidRPr="00DD439D" w14:paraId="46B4ED3D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4E34710" w14:textId="77777777" w:rsidR="00710FC3" w:rsidRPr="00710FC3" w:rsidRDefault="00710FC3" w:rsidP="00710FC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E29DAA0" w14:textId="25FE1115" w:rsidR="00710FC3" w:rsidRPr="007A2177" w:rsidRDefault="00710FC3" w:rsidP="00710FC3">
            <w:pPr>
              <w:rPr>
                <w:rFonts w:cs="Arial"/>
                <w:color w:val="000000" w:themeColor="text1"/>
                <w:sz w:val="20"/>
              </w:rPr>
            </w:pPr>
            <w:r w:rsidRPr="007A2177">
              <w:rPr>
                <w:rFonts w:cs="Arial"/>
                <w:color w:val="000000" w:themeColor="text1"/>
                <w:sz w:val="20"/>
              </w:rPr>
              <w:t xml:space="preserve">Samer </w:t>
            </w:r>
            <w:proofErr w:type="spellStart"/>
            <w:r w:rsidRPr="007A2177">
              <w:rPr>
                <w:rFonts w:cs="Arial"/>
                <w:color w:val="000000" w:themeColor="text1"/>
                <w:sz w:val="20"/>
              </w:rPr>
              <w:t>Dardas</w:t>
            </w:r>
            <w:proofErr w:type="spellEnd"/>
          </w:p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EE4"/>
    <w:multiLevelType w:val="hybridMultilevel"/>
    <w:tmpl w:val="029A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10FC3"/>
    <w:rsid w:val="00760950"/>
    <w:rsid w:val="0076391E"/>
    <w:rsid w:val="007A2177"/>
    <w:rsid w:val="007D68EF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710FC3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FC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710FC3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3662-6C4A-4F66-A800-118E292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5</cp:revision>
  <cp:lastPrinted>2017-12-31T20:40:00Z</cp:lastPrinted>
  <dcterms:created xsi:type="dcterms:W3CDTF">2018-01-23T11:14:00Z</dcterms:created>
  <dcterms:modified xsi:type="dcterms:W3CDTF">2018-04-24T12:14:00Z</dcterms:modified>
</cp:coreProperties>
</file>